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B2AD74">
      <w:pPr>
        <w:pStyle w:val="10"/>
        <w:rPr>
          <w:rFonts w:hint="eastAsia" w:ascii="黑体" w:hAnsi="黑体" w:eastAsia="黑体" w:cs="黑体"/>
          <w:color w:val="auto"/>
          <w:kern w:val="2"/>
          <w:sz w:val="32"/>
          <w:szCs w:val="32"/>
          <w:highlight w:val="none"/>
          <w:lang w:val="en-US" w:eastAsia="zh-CN" w:bidi="ar-SA"/>
        </w:rPr>
      </w:pPr>
      <w:bookmarkStart w:id="0" w:name="_Toc15377425"/>
      <w:bookmarkStart w:id="1" w:name="_Toc15378441"/>
      <w:bookmarkStart w:id="2" w:name="_Toc15396475"/>
      <w:bookmarkStart w:id="3" w:name="_Toc15377193"/>
      <w:bookmarkStart w:id="4" w:name="_Toc15396597"/>
      <w:bookmarkStart w:id="5" w:name="_Toc15306267"/>
    </w:p>
    <w:p w14:paraId="2C571859">
      <w:pPr>
        <w:pStyle w:val="10"/>
        <w:rPr>
          <w:rFonts w:hint="eastAsia" w:ascii="Times New Roman" w:hAnsi="Times New Roman" w:eastAsia="方正小标宋简体" w:cs="Times New Roman"/>
          <w:color w:val="auto"/>
          <w:kern w:val="2"/>
          <w:sz w:val="72"/>
          <w:szCs w:val="72"/>
          <w:highlight w:val="none"/>
          <w:lang w:val="en-US" w:eastAsia="zh-CN" w:bidi="ar-SA"/>
        </w:rPr>
      </w:pPr>
    </w:p>
    <w:p w14:paraId="02C679A7">
      <w:pPr>
        <w:pStyle w:val="10"/>
        <w:rPr>
          <w:rFonts w:hint="eastAsia" w:ascii="Times New Roman" w:hAnsi="Times New Roman" w:eastAsia="方正小标宋简体" w:cs="Times New Roman"/>
          <w:color w:val="auto"/>
          <w:kern w:val="2"/>
          <w:sz w:val="72"/>
          <w:szCs w:val="72"/>
          <w:highlight w:val="none"/>
          <w:lang w:val="en-US" w:eastAsia="zh-CN" w:bidi="ar-SA"/>
        </w:rPr>
      </w:pPr>
    </w:p>
    <w:p w14:paraId="4109F151">
      <w:pPr>
        <w:pStyle w:val="10"/>
        <w:jc w:val="center"/>
        <w:rPr>
          <w:rFonts w:hint="eastAsia" w:ascii="方正小标宋_GBK" w:hAnsi="方正小标宋_GBK" w:eastAsia="方正小标宋_GBK" w:cs="方正小标宋_GBK"/>
          <w:b/>
          <w:bCs/>
          <w:color w:val="auto"/>
          <w:kern w:val="2"/>
          <w:sz w:val="44"/>
          <w:szCs w:val="44"/>
          <w:highlight w:val="none"/>
          <w:lang w:val="en-US" w:eastAsia="zh-CN" w:bidi="ar-SA"/>
        </w:rPr>
      </w:pPr>
      <w:r>
        <w:rPr>
          <w:rFonts w:hint="eastAsia" w:ascii="方正小标宋_GBK" w:hAnsi="方正小标宋_GBK" w:eastAsia="方正小标宋_GBK" w:cs="方正小标宋_GBK"/>
          <w:b/>
          <w:bCs/>
          <w:color w:val="auto"/>
          <w:kern w:val="2"/>
          <w:sz w:val="44"/>
          <w:szCs w:val="44"/>
          <w:highlight w:val="none"/>
          <w:lang w:val="en-US" w:eastAsia="zh-CN" w:bidi="ar-SA"/>
        </w:rPr>
        <w:t>2025年度市级部门</w:t>
      </w:r>
    </w:p>
    <w:p w14:paraId="7A12166F">
      <w:pPr>
        <w:pStyle w:val="10"/>
        <w:jc w:val="center"/>
        <w:rPr>
          <w:rFonts w:hint="default" w:ascii="方正小标宋_GBK" w:hAnsi="方正小标宋_GBK" w:eastAsia="方正小标宋_GBK" w:cs="方正小标宋_GBK"/>
          <w:b/>
          <w:bCs/>
          <w:color w:val="auto"/>
          <w:kern w:val="2"/>
          <w:sz w:val="44"/>
          <w:szCs w:val="44"/>
          <w:highlight w:val="none"/>
          <w:lang w:val="en-US" w:eastAsia="zh-CN" w:bidi="ar-SA"/>
        </w:rPr>
      </w:pPr>
      <w:r>
        <w:rPr>
          <w:rFonts w:hint="eastAsia" w:ascii="方正小标宋_GBK" w:hAnsi="方正小标宋_GBK" w:eastAsia="方正小标宋_GBK" w:cs="方正小标宋_GBK"/>
          <w:b/>
          <w:bCs/>
          <w:color w:val="auto"/>
          <w:kern w:val="2"/>
          <w:sz w:val="44"/>
          <w:szCs w:val="44"/>
          <w:highlight w:val="none"/>
          <w:lang w:val="en-US" w:eastAsia="zh-CN" w:bidi="ar-SA"/>
        </w:rPr>
        <w:t>中共攀枝花市纪律检查委员会</w:t>
      </w:r>
    </w:p>
    <w:p w14:paraId="6AD6E049">
      <w:pPr>
        <w:pStyle w:val="10"/>
        <w:jc w:val="center"/>
        <w:rPr>
          <w:rFonts w:hint="eastAsia" w:ascii="方正小标宋_GBK" w:hAnsi="方正小标宋_GBK" w:eastAsia="方正小标宋_GBK" w:cs="方正小标宋_GBK"/>
          <w:b/>
          <w:bCs/>
          <w:color w:val="auto"/>
          <w:kern w:val="2"/>
          <w:sz w:val="44"/>
          <w:szCs w:val="44"/>
          <w:highlight w:val="none"/>
          <w:lang w:val="en-US" w:eastAsia="zh-CN" w:bidi="ar-SA"/>
        </w:rPr>
      </w:pPr>
      <w:r>
        <w:rPr>
          <w:rFonts w:hint="eastAsia" w:ascii="方正小标宋_GBK" w:hAnsi="方正小标宋_GBK" w:eastAsia="方正小标宋_GBK" w:cs="方正小标宋_GBK"/>
          <w:b/>
          <w:bCs/>
          <w:color w:val="auto"/>
          <w:kern w:val="2"/>
          <w:sz w:val="44"/>
          <w:szCs w:val="44"/>
          <w:highlight w:val="none"/>
          <w:lang w:val="en-US" w:eastAsia="zh-CN" w:bidi="ar-SA"/>
        </w:rPr>
        <w:t>攀枝花市监察委员会</w:t>
      </w:r>
    </w:p>
    <w:p w14:paraId="17558E99">
      <w:pPr>
        <w:spacing w:line="600" w:lineRule="exact"/>
        <w:jc w:val="center"/>
        <w:outlineLvl w:val="9"/>
        <w:rPr>
          <w:rFonts w:ascii="Times New Roman" w:hAnsi="Times New Roman" w:eastAsia="方正小标宋简体"/>
          <w:color w:val="auto"/>
          <w:sz w:val="72"/>
          <w:szCs w:val="72"/>
          <w:highlight w:val="none"/>
        </w:rPr>
      </w:pPr>
      <w:r>
        <w:rPr>
          <w:rFonts w:hint="eastAsia" w:ascii="方正小标宋_GBK" w:hAnsi="方正小标宋_GBK" w:eastAsia="方正小标宋_GBK" w:cs="方正小标宋_GBK"/>
          <w:b/>
          <w:bCs/>
          <w:color w:val="auto"/>
          <w:kern w:val="2"/>
          <w:sz w:val="44"/>
          <w:szCs w:val="44"/>
          <w:highlight w:val="none"/>
          <w:lang w:val="en-US" w:eastAsia="zh-CN" w:bidi="ar-SA"/>
        </w:rPr>
        <w:t>决算公开编制说明</w:t>
      </w:r>
    </w:p>
    <w:p w14:paraId="670C2E23">
      <w:pPr>
        <w:pStyle w:val="21"/>
        <w:rPr>
          <w:rFonts w:ascii="Times New Roman" w:hAnsi="Times New Roman"/>
        </w:rPr>
        <w:sectPr>
          <w:headerReference r:id="rId3" w:type="default"/>
          <w:footerReference r:id="rId4" w:type="default"/>
          <w:pgSz w:w="11906" w:h="16838"/>
          <w:pgMar w:top="1440" w:right="1800" w:bottom="1440" w:left="1800" w:header="851" w:footer="992" w:gutter="0"/>
          <w:pgNumType w:fmt="decimal" w:start="1"/>
          <w:cols w:space="425" w:num="1"/>
          <w:titlePg/>
          <w:docGrid w:type="lines" w:linePitch="312" w:charSpace="0"/>
        </w:sectPr>
      </w:pPr>
    </w:p>
    <w:p w14:paraId="41014930">
      <w:pPr>
        <w:pStyle w:val="10"/>
        <w:jc w:val="both"/>
        <w:rPr>
          <w:rFonts w:hint="eastAsia" w:ascii="Times New Roman" w:hAnsi="Times New Roman" w:eastAsia="方正小标宋简体" w:cs="Times New Roman"/>
          <w:color w:val="auto"/>
          <w:kern w:val="2"/>
          <w:sz w:val="44"/>
          <w:szCs w:val="44"/>
          <w:highlight w:val="none"/>
          <w:lang w:val="en-US" w:eastAsia="zh-CN" w:bidi="ar-SA"/>
        </w:rPr>
      </w:pPr>
    </w:p>
    <w:bookmarkEnd w:id="0"/>
    <w:bookmarkEnd w:id="1"/>
    <w:bookmarkEnd w:id="2"/>
    <w:bookmarkEnd w:id="3"/>
    <w:bookmarkEnd w:id="4"/>
    <w:bookmarkEnd w:id="5"/>
    <w:p w14:paraId="7A4B1BCD">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14:paraId="3D8BB381">
      <w:pPr>
        <w:widowControl/>
        <w:jc w:val="center"/>
        <w:rPr>
          <w:rFonts w:ascii="Times New Roman" w:hAnsi="Times New Roman" w:eastAsia="黑体" w:cstheme="minorBidi"/>
          <w:color w:val="auto"/>
          <w:sz w:val="28"/>
          <w:szCs w:val="28"/>
          <w:highlight w:val="none"/>
        </w:rPr>
      </w:pPr>
    </w:p>
    <w:p w14:paraId="52EAE8A3">
      <w:pPr>
        <w:pStyle w:val="15"/>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26</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8</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31</w:t>
      </w:r>
      <w:bookmarkStart w:id="109" w:name="_GoBack"/>
      <w:bookmarkEnd w:id="109"/>
      <w:r>
        <w:rPr>
          <w:rFonts w:hint="eastAsia" w:ascii="Times New Roman" w:hAnsi="Times New Roman" w:eastAsia="仿宋_GB2312" w:cs="仿宋_GB2312"/>
          <w:color w:val="auto"/>
          <w:sz w:val="32"/>
          <w:szCs w:val="32"/>
          <w:highlight w:val="none"/>
        </w:rPr>
        <w:t>日</w:t>
      </w:r>
    </w:p>
    <w:sdt>
      <w:sdtPr>
        <w:rPr>
          <w:rFonts w:ascii="宋体" w:hAnsi="宋体" w:eastAsia="宋体" w:cs="Times New Roman"/>
          <w:kern w:val="2"/>
          <w:sz w:val="21"/>
          <w:szCs w:val="24"/>
          <w:lang w:val="en-US" w:eastAsia="zh-CN" w:bidi="ar-SA"/>
        </w:rPr>
        <w:id w:val="147450892"/>
        <w15:color w:val="DBDBDB"/>
        <w:docPartObj>
          <w:docPartGallery w:val="Table of Contents"/>
          <w:docPartUnique/>
        </w:docPartObj>
      </w:sdtPr>
      <w:sdtEndPr>
        <w:rPr>
          <w:rFonts w:ascii="Times New Roman" w:hAnsi="Times New Roman" w:eastAsia="宋体" w:cs="Times New Roman"/>
          <w:color w:val="auto"/>
          <w:kern w:val="2"/>
          <w:sz w:val="21"/>
          <w:szCs w:val="24"/>
          <w:highlight w:val="none"/>
          <w:lang w:val="en-US" w:eastAsia="zh-CN" w:bidi="ar-SA"/>
        </w:rPr>
      </w:sdtEndPr>
      <w:sdtContent>
        <w:p w14:paraId="18346CE9">
          <w:pPr>
            <w:spacing w:before="0" w:beforeLines="0" w:after="0" w:afterLines="0" w:line="240" w:lineRule="auto"/>
            <w:ind w:left="0" w:leftChars="0" w:right="0" w:rightChars="0" w:firstLine="0" w:firstLineChars="0"/>
            <w:jc w:val="center"/>
          </w:pPr>
        </w:p>
        <w:p w14:paraId="64DB87A7">
          <w:pPr>
            <w:pStyle w:val="15"/>
            <w:tabs>
              <w:tab w:val="right" w:leader="dot" w:pos="8306"/>
              <w:tab w:val="clear" w:pos="8296"/>
            </w:tabs>
            <w:rPr>
              <w:rFonts w:hint="default" w:ascii="Times New Roman" w:hAnsi="Times New Roman" w:cs="Times New Roman"/>
              <w:sz w:val="32"/>
              <w:szCs w:val="32"/>
            </w:rPr>
          </w:pPr>
          <w:r>
            <w:rPr>
              <w:rFonts w:hint="default" w:ascii="Times New Roman" w:hAnsi="Times New Roman" w:cs="Times New Roman"/>
              <w:color w:val="auto"/>
              <w:sz w:val="32"/>
              <w:szCs w:val="32"/>
              <w:highlight w:val="none"/>
            </w:rPr>
            <w:fldChar w:fldCharType="begin"/>
          </w:r>
          <w:r>
            <w:rPr>
              <w:rFonts w:hint="default" w:ascii="Times New Roman" w:hAnsi="Times New Roman" w:cs="Times New Roman"/>
              <w:color w:val="auto"/>
              <w:sz w:val="32"/>
              <w:szCs w:val="32"/>
              <w:highlight w:val="none"/>
            </w:rPr>
            <w:instrText xml:space="preserve">TOC \o "1-2" \h \u </w:instrText>
          </w:r>
          <w:r>
            <w:rPr>
              <w:rFonts w:hint="default" w:ascii="Times New Roman" w:hAnsi="Times New Roman" w:cs="Times New Roman"/>
              <w:color w:val="auto"/>
              <w:sz w:val="32"/>
              <w:szCs w:val="32"/>
              <w:highlight w:val="none"/>
            </w:rPr>
            <w:fldChar w:fldCharType="separate"/>
          </w:r>
          <w:r>
            <w:rPr>
              <w:rFonts w:hint="default" w:ascii="Times New Roman" w:hAnsi="Times New Roman" w:cs="Times New Roman"/>
              <w:color w:val="auto"/>
              <w:sz w:val="32"/>
              <w:szCs w:val="32"/>
              <w:highlight w:val="none"/>
            </w:rPr>
            <w:fldChar w:fldCharType="begin"/>
          </w:r>
          <w:r>
            <w:rPr>
              <w:rFonts w:hint="default" w:ascii="Times New Roman" w:hAnsi="Times New Roman" w:cs="Times New Roman"/>
              <w:sz w:val="32"/>
              <w:szCs w:val="32"/>
              <w:highlight w:val="none"/>
            </w:rPr>
            <w:instrText xml:space="preserve"> HYPERLINK \l _Toc24502 </w:instrText>
          </w:r>
          <w:r>
            <w:rPr>
              <w:rFonts w:hint="default" w:ascii="Times New Roman" w:hAnsi="Times New Roman" w:cs="Times New Roman"/>
              <w:sz w:val="32"/>
              <w:szCs w:val="32"/>
              <w:highlight w:val="none"/>
            </w:rPr>
            <w:fldChar w:fldCharType="separate"/>
          </w:r>
          <w:r>
            <w:rPr>
              <w:rFonts w:hint="default" w:ascii="Times New Roman" w:hAnsi="Times New Roman" w:eastAsia="方正小标宋_GBK" w:cs="Times New Roman"/>
              <w:sz w:val="32"/>
              <w:szCs w:val="32"/>
              <w:highlight w:val="none"/>
            </w:rPr>
            <w:t>第一部分</w:t>
          </w:r>
          <w:r>
            <w:rPr>
              <w:rFonts w:hint="default" w:ascii="Times New Roman" w:hAnsi="Times New Roman" w:eastAsia="方正小标宋_GBK" w:cs="Times New Roman"/>
              <w:sz w:val="32"/>
              <w:szCs w:val="32"/>
              <w:highlight w:val="none"/>
              <w:lang w:val="en-US" w:eastAsia="zh-CN"/>
            </w:rPr>
            <w:t xml:space="preserve"> </w:t>
          </w:r>
          <w:r>
            <w:rPr>
              <w:rFonts w:hint="default" w:ascii="Times New Roman" w:hAnsi="Times New Roman" w:eastAsia="方正小标宋_GBK" w:cs="Times New Roman"/>
              <w:sz w:val="32"/>
              <w:szCs w:val="32"/>
              <w:highlight w:val="none"/>
            </w:rPr>
            <w:t xml:space="preserve"> </w:t>
          </w:r>
          <w:r>
            <w:rPr>
              <w:rFonts w:hint="default" w:ascii="Times New Roman" w:hAnsi="Times New Roman" w:eastAsia="方正小标宋_GBK" w:cs="Times New Roman"/>
              <w:bCs w:val="0"/>
              <w:sz w:val="32"/>
              <w:szCs w:val="32"/>
              <w:highlight w:val="none"/>
            </w:rPr>
            <w:t>部门概况</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_Toc24502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3</w:t>
          </w:r>
          <w:r>
            <w:rPr>
              <w:rFonts w:hint="default" w:ascii="Times New Roman" w:hAnsi="Times New Roman" w:cs="Times New Roman"/>
              <w:sz w:val="32"/>
              <w:szCs w:val="32"/>
            </w:rPr>
            <w:fldChar w:fldCharType="end"/>
          </w:r>
          <w:r>
            <w:rPr>
              <w:rFonts w:hint="default" w:ascii="Times New Roman" w:hAnsi="Times New Roman" w:cs="Times New Roman"/>
              <w:color w:val="auto"/>
              <w:sz w:val="32"/>
              <w:szCs w:val="32"/>
              <w:highlight w:val="none"/>
            </w:rPr>
            <w:fldChar w:fldCharType="end"/>
          </w:r>
        </w:p>
        <w:p w14:paraId="2D5C7672">
          <w:pPr>
            <w:pStyle w:val="16"/>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z w:val="32"/>
              <w:szCs w:val="32"/>
              <w:highlight w:val="none"/>
            </w:rPr>
            <w:fldChar w:fldCharType="begin"/>
          </w:r>
          <w:r>
            <w:rPr>
              <w:rFonts w:hint="default" w:ascii="Times New Roman" w:hAnsi="Times New Roman" w:eastAsia="方正仿宋_GBK" w:cs="Times New Roman"/>
              <w:sz w:val="32"/>
              <w:szCs w:val="32"/>
              <w:highlight w:val="none"/>
            </w:rPr>
            <w:instrText xml:space="preserve"> HYPERLINK \l _Toc29807 </w:instrText>
          </w:r>
          <w:r>
            <w:rPr>
              <w:rFonts w:hint="default" w:ascii="Times New Roman" w:hAnsi="Times New Roman" w:eastAsia="方正仿宋_GBK" w:cs="Times New Roman"/>
              <w:sz w:val="32"/>
              <w:szCs w:val="32"/>
              <w:highlight w:val="none"/>
            </w:rPr>
            <w:fldChar w:fldCharType="separate"/>
          </w:r>
          <w:r>
            <w:rPr>
              <w:rFonts w:hint="default" w:ascii="Times New Roman" w:hAnsi="Times New Roman" w:eastAsia="方正仿宋_GBK" w:cs="Times New Roman"/>
              <w:sz w:val="32"/>
              <w:szCs w:val="32"/>
              <w:highlight w:val="none"/>
            </w:rPr>
            <w:t>一、</w:t>
          </w:r>
          <w:r>
            <w:rPr>
              <w:rFonts w:hint="default" w:ascii="Times New Roman" w:hAnsi="Times New Roman" w:eastAsia="方正仿宋_GBK" w:cs="Times New Roman"/>
              <w:sz w:val="32"/>
              <w:szCs w:val="32"/>
              <w:highlight w:val="none"/>
              <w:lang w:eastAsia="zh-CN"/>
            </w:rPr>
            <w:t>部门职责</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_Toc29807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3</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color w:val="auto"/>
              <w:sz w:val="32"/>
              <w:szCs w:val="32"/>
              <w:highlight w:val="none"/>
            </w:rPr>
            <w:fldChar w:fldCharType="end"/>
          </w:r>
        </w:p>
        <w:p w14:paraId="303163A8">
          <w:pPr>
            <w:pStyle w:val="16"/>
            <w:tabs>
              <w:tab w:val="right" w:leader="dot" w:pos="8306"/>
              <w:tab w:val="clear" w:pos="8296"/>
            </w:tabs>
            <w:rPr>
              <w:rFonts w:hint="default" w:ascii="Times New Roman" w:hAnsi="Times New Roman" w:cs="Times New Roman"/>
              <w:sz w:val="32"/>
              <w:szCs w:val="32"/>
            </w:rPr>
          </w:pPr>
          <w:r>
            <w:rPr>
              <w:rFonts w:hint="default" w:ascii="Times New Roman" w:hAnsi="Times New Roman" w:eastAsia="方正仿宋_GBK" w:cs="Times New Roman"/>
              <w:color w:val="auto"/>
              <w:sz w:val="32"/>
              <w:szCs w:val="32"/>
              <w:highlight w:val="none"/>
            </w:rPr>
            <w:fldChar w:fldCharType="begin"/>
          </w:r>
          <w:r>
            <w:rPr>
              <w:rFonts w:hint="default" w:ascii="Times New Roman" w:hAnsi="Times New Roman" w:eastAsia="方正仿宋_GBK" w:cs="Times New Roman"/>
              <w:sz w:val="32"/>
              <w:szCs w:val="32"/>
              <w:highlight w:val="none"/>
            </w:rPr>
            <w:instrText xml:space="preserve"> HYPERLINK \l _Toc24106 </w:instrText>
          </w:r>
          <w:r>
            <w:rPr>
              <w:rFonts w:hint="default" w:ascii="Times New Roman" w:hAnsi="Times New Roman" w:eastAsia="方正仿宋_GBK" w:cs="Times New Roman"/>
              <w:sz w:val="32"/>
              <w:szCs w:val="32"/>
              <w:highlight w:val="none"/>
            </w:rPr>
            <w:fldChar w:fldCharType="separate"/>
          </w:r>
          <w:r>
            <w:rPr>
              <w:rFonts w:hint="default" w:ascii="Times New Roman" w:hAnsi="Times New Roman" w:eastAsia="方正仿宋_GBK" w:cs="Times New Roman"/>
              <w:sz w:val="32"/>
              <w:szCs w:val="32"/>
              <w:highlight w:val="none"/>
            </w:rPr>
            <w:t>二、机</w:t>
          </w:r>
          <w:r>
            <w:rPr>
              <w:rFonts w:hint="default" w:ascii="Times New Roman" w:hAnsi="Times New Roman" w:eastAsia="方正仿宋_GBK" w:cs="Times New Roman"/>
              <w:bCs w:val="0"/>
              <w:sz w:val="32"/>
              <w:szCs w:val="32"/>
              <w:highlight w:val="none"/>
            </w:rPr>
            <w:t>构设置</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_Toc24106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3</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color w:val="auto"/>
              <w:sz w:val="32"/>
              <w:szCs w:val="32"/>
              <w:highlight w:val="none"/>
            </w:rPr>
            <w:fldChar w:fldCharType="end"/>
          </w:r>
        </w:p>
        <w:p w14:paraId="53F5B6F6">
          <w:pPr>
            <w:pStyle w:val="15"/>
            <w:tabs>
              <w:tab w:val="right" w:leader="dot" w:pos="8306"/>
              <w:tab w:val="clear" w:pos="8296"/>
            </w:tabs>
            <w:rPr>
              <w:rFonts w:hint="default" w:ascii="Times New Roman" w:hAnsi="Times New Roman" w:cs="Times New Roman"/>
              <w:sz w:val="32"/>
              <w:szCs w:val="32"/>
            </w:rPr>
          </w:pPr>
          <w:r>
            <w:rPr>
              <w:rFonts w:hint="default" w:ascii="Times New Roman" w:hAnsi="Times New Roman" w:cs="Times New Roman"/>
              <w:color w:val="auto"/>
              <w:sz w:val="32"/>
              <w:szCs w:val="32"/>
              <w:highlight w:val="none"/>
            </w:rPr>
            <w:fldChar w:fldCharType="begin"/>
          </w:r>
          <w:r>
            <w:rPr>
              <w:rFonts w:hint="default" w:ascii="Times New Roman" w:hAnsi="Times New Roman" w:cs="Times New Roman"/>
              <w:sz w:val="32"/>
              <w:szCs w:val="32"/>
              <w:highlight w:val="none"/>
            </w:rPr>
            <w:instrText xml:space="preserve"> HYPERLINK \l _Toc14067 </w:instrText>
          </w:r>
          <w:r>
            <w:rPr>
              <w:rFonts w:hint="default" w:ascii="Times New Roman" w:hAnsi="Times New Roman" w:cs="Times New Roman"/>
              <w:sz w:val="32"/>
              <w:szCs w:val="32"/>
              <w:highlight w:val="none"/>
            </w:rPr>
            <w:fldChar w:fldCharType="separate"/>
          </w:r>
          <w:r>
            <w:rPr>
              <w:rFonts w:hint="default" w:ascii="Times New Roman" w:hAnsi="Times New Roman" w:eastAsia="方正小标宋_GBK" w:cs="Times New Roman"/>
              <w:sz w:val="32"/>
              <w:szCs w:val="32"/>
              <w:highlight w:val="none"/>
            </w:rPr>
            <w:t>第二部分</w:t>
          </w:r>
          <w:r>
            <w:rPr>
              <w:rFonts w:hint="default" w:ascii="Times New Roman" w:hAnsi="Times New Roman" w:eastAsia="方正小标宋_GBK" w:cs="Times New Roman"/>
              <w:sz w:val="32"/>
              <w:szCs w:val="32"/>
              <w:highlight w:val="none"/>
              <w:lang w:val="en-US" w:eastAsia="zh-CN"/>
            </w:rPr>
            <w:t xml:space="preserve"> </w:t>
          </w:r>
          <w:r>
            <w:rPr>
              <w:rFonts w:hint="default" w:ascii="Times New Roman" w:hAnsi="Times New Roman" w:eastAsia="方正小标宋_GBK" w:cs="Times New Roman"/>
              <w:sz w:val="32"/>
              <w:szCs w:val="32"/>
              <w:highlight w:val="none"/>
            </w:rPr>
            <w:t xml:space="preserve"> </w:t>
          </w:r>
          <w:r>
            <w:rPr>
              <w:rFonts w:hint="default" w:ascii="Times New Roman" w:hAnsi="Times New Roman" w:eastAsia="方正小标宋_GBK" w:cs="Times New Roman"/>
              <w:sz w:val="32"/>
              <w:szCs w:val="32"/>
              <w:highlight w:val="none"/>
              <w:lang w:val="en-US" w:eastAsia="zh-CN"/>
            </w:rPr>
            <w:t>2025年度</w:t>
          </w:r>
          <w:r>
            <w:rPr>
              <w:rFonts w:hint="default" w:ascii="Times New Roman" w:hAnsi="Times New Roman" w:eastAsia="方正小标宋_GBK" w:cs="Times New Roman"/>
              <w:sz w:val="32"/>
              <w:szCs w:val="32"/>
              <w:highlight w:val="none"/>
            </w:rPr>
            <w:t>部门决算情况说明</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_Toc14067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4</w:t>
          </w:r>
          <w:r>
            <w:rPr>
              <w:rFonts w:hint="default" w:ascii="Times New Roman" w:hAnsi="Times New Roman" w:cs="Times New Roman"/>
              <w:sz w:val="32"/>
              <w:szCs w:val="32"/>
            </w:rPr>
            <w:fldChar w:fldCharType="end"/>
          </w:r>
          <w:r>
            <w:rPr>
              <w:rFonts w:hint="default" w:ascii="Times New Roman" w:hAnsi="Times New Roman" w:cs="Times New Roman"/>
              <w:color w:val="auto"/>
              <w:sz w:val="32"/>
              <w:szCs w:val="32"/>
              <w:highlight w:val="none"/>
            </w:rPr>
            <w:fldChar w:fldCharType="end"/>
          </w:r>
        </w:p>
        <w:p w14:paraId="3F9E8EC4">
          <w:pPr>
            <w:pStyle w:val="16"/>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z w:val="32"/>
              <w:szCs w:val="32"/>
              <w:highlight w:val="none"/>
            </w:rPr>
            <w:fldChar w:fldCharType="begin"/>
          </w:r>
          <w:r>
            <w:rPr>
              <w:rFonts w:hint="default" w:ascii="Times New Roman" w:hAnsi="Times New Roman" w:eastAsia="方正仿宋_GBK" w:cs="Times New Roman"/>
              <w:sz w:val="32"/>
              <w:szCs w:val="32"/>
              <w:highlight w:val="none"/>
            </w:rPr>
            <w:instrText xml:space="preserve"> HYPERLINK \l _Toc414 </w:instrText>
          </w:r>
          <w:r>
            <w:rPr>
              <w:rFonts w:hint="default" w:ascii="Times New Roman" w:hAnsi="Times New Roman" w:eastAsia="方正仿宋_GBK" w:cs="Times New Roman"/>
              <w:sz w:val="32"/>
              <w:szCs w:val="32"/>
              <w:highlight w:val="none"/>
            </w:rPr>
            <w:fldChar w:fldCharType="separate"/>
          </w:r>
          <w:r>
            <w:rPr>
              <w:rFonts w:hint="default" w:ascii="Times New Roman" w:hAnsi="Times New Roman" w:eastAsia="方正仿宋_GBK" w:cs="Times New Roman"/>
              <w:sz w:val="32"/>
              <w:szCs w:val="32"/>
              <w:highlight w:val="none"/>
              <w:lang w:eastAsia="zh-CN"/>
            </w:rPr>
            <w:t>一、</w:t>
          </w:r>
          <w:r>
            <w:rPr>
              <w:rFonts w:hint="default" w:ascii="Times New Roman" w:hAnsi="Times New Roman" w:eastAsia="方正仿宋_GBK" w:cs="Times New Roman"/>
              <w:sz w:val="32"/>
              <w:szCs w:val="32"/>
              <w:highlight w:val="none"/>
            </w:rPr>
            <w:t>收入支出决算总体情况说明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_Toc414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4</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color w:val="auto"/>
              <w:sz w:val="32"/>
              <w:szCs w:val="32"/>
              <w:highlight w:val="none"/>
            </w:rPr>
            <w:fldChar w:fldCharType="end"/>
          </w:r>
        </w:p>
        <w:p w14:paraId="1D7AF11C">
          <w:pPr>
            <w:pStyle w:val="16"/>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z w:val="32"/>
              <w:szCs w:val="32"/>
              <w:highlight w:val="none"/>
            </w:rPr>
            <w:fldChar w:fldCharType="begin"/>
          </w:r>
          <w:r>
            <w:rPr>
              <w:rFonts w:hint="default" w:ascii="Times New Roman" w:hAnsi="Times New Roman" w:eastAsia="方正仿宋_GBK" w:cs="Times New Roman"/>
              <w:sz w:val="32"/>
              <w:szCs w:val="32"/>
              <w:highlight w:val="none"/>
            </w:rPr>
            <w:instrText xml:space="preserve"> HYPERLINK \l _Toc7612 </w:instrText>
          </w:r>
          <w:r>
            <w:rPr>
              <w:rFonts w:hint="default" w:ascii="Times New Roman" w:hAnsi="Times New Roman" w:eastAsia="方正仿宋_GBK" w:cs="Times New Roman"/>
              <w:sz w:val="32"/>
              <w:szCs w:val="32"/>
              <w:highlight w:val="none"/>
            </w:rPr>
            <w:fldChar w:fldCharType="separate"/>
          </w:r>
          <w:r>
            <w:rPr>
              <w:rFonts w:hint="default" w:ascii="Times New Roman" w:hAnsi="Times New Roman" w:eastAsia="方正仿宋_GBK" w:cs="Times New Roman"/>
              <w:sz w:val="32"/>
              <w:szCs w:val="32"/>
              <w:highlight w:val="none"/>
              <w:lang w:eastAsia="zh-CN"/>
            </w:rPr>
            <w:t>二、收入决算情况说明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_Toc7612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4</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color w:val="auto"/>
              <w:sz w:val="32"/>
              <w:szCs w:val="32"/>
              <w:highlight w:val="none"/>
            </w:rPr>
            <w:fldChar w:fldCharType="end"/>
          </w:r>
        </w:p>
        <w:p w14:paraId="0BCD91E8">
          <w:pPr>
            <w:pStyle w:val="16"/>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z w:val="32"/>
              <w:szCs w:val="32"/>
              <w:highlight w:val="none"/>
            </w:rPr>
            <w:fldChar w:fldCharType="begin"/>
          </w:r>
          <w:r>
            <w:rPr>
              <w:rFonts w:hint="default" w:ascii="Times New Roman" w:hAnsi="Times New Roman" w:eastAsia="方正仿宋_GBK" w:cs="Times New Roman"/>
              <w:sz w:val="32"/>
              <w:szCs w:val="32"/>
              <w:highlight w:val="none"/>
            </w:rPr>
            <w:instrText xml:space="preserve"> HYPERLINK \l _Toc9071 </w:instrText>
          </w:r>
          <w:r>
            <w:rPr>
              <w:rFonts w:hint="default" w:ascii="Times New Roman" w:hAnsi="Times New Roman" w:eastAsia="方正仿宋_GBK" w:cs="Times New Roman"/>
              <w:sz w:val="32"/>
              <w:szCs w:val="32"/>
              <w:highlight w:val="none"/>
            </w:rPr>
            <w:fldChar w:fldCharType="separate"/>
          </w:r>
          <w:r>
            <w:rPr>
              <w:rFonts w:hint="default" w:ascii="Times New Roman" w:hAnsi="Times New Roman" w:eastAsia="方正仿宋_GBK" w:cs="Times New Roman"/>
              <w:sz w:val="32"/>
              <w:szCs w:val="32"/>
              <w:highlight w:val="none"/>
              <w:lang w:eastAsia="zh-CN"/>
            </w:rPr>
            <w:t>三、</w:t>
          </w:r>
          <w:r>
            <w:rPr>
              <w:rFonts w:hint="default" w:ascii="Times New Roman" w:hAnsi="Times New Roman" w:eastAsia="方正仿宋_GBK" w:cs="Times New Roman"/>
              <w:sz w:val="32"/>
              <w:szCs w:val="32"/>
              <w:highlight w:val="none"/>
            </w:rPr>
            <w:t>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_Toc9071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5</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color w:val="auto"/>
              <w:sz w:val="32"/>
              <w:szCs w:val="32"/>
              <w:highlight w:val="none"/>
            </w:rPr>
            <w:fldChar w:fldCharType="end"/>
          </w:r>
        </w:p>
        <w:p w14:paraId="5CFF3D65">
          <w:pPr>
            <w:pStyle w:val="16"/>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z w:val="32"/>
              <w:szCs w:val="32"/>
              <w:highlight w:val="none"/>
            </w:rPr>
            <w:fldChar w:fldCharType="begin"/>
          </w:r>
          <w:r>
            <w:rPr>
              <w:rFonts w:hint="default" w:ascii="Times New Roman" w:hAnsi="Times New Roman" w:eastAsia="方正仿宋_GBK" w:cs="Times New Roman"/>
              <w:sz w:val="32"/>
              <w:szCs w:val="32"/>
              <w:highlight w:val="none"/>
            </w:rPr>
            <w:instrText xml:space="preserve"> HYPERLINK \l _Toc22752 </w:instrText>
          </w:r>
          <w:r>
            <w:rPr>
              <w:rFonts w:hint="default" w:ascii="Times New Roman" w:hAnsi="Times New Roman" w:eastAsia="方正仿宋_GBK" w:cs="Times New Roman"/>
              <w:sz w:val="32"/>
              <w:szCs w:val="32"/>
              <w:highlight w:val="none"/>
            </w:rPr>
            <w:fldChar w:fldCharType="separate"/>
          </w:r>
          <w:r>
            <w:rPr>
              <w:rFonts w:hint="default" w:ascii="Times New Roman" w:hAnsi="Times New Roman" w:eastAsia="方正仿宋_GBK" w:cs="Times New Roman"/>
              <w:sz w:val="32"/>
              <w:szCs w:val="32"/>
              <w:highlight w:val="none"/>
            </w:rPr>
            <w:t>四、财政拨款收入支出决算总体情况说明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_Toc22752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5</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color w:val="auto"/>
              <w:sz w:val="32"/>
              <w:szCs w:val="32"/>
              <w:highlight w:val="none"/>
            </w:rPr>
            <w:fldChar w:fldCharType="end"/>
          </w:r>
        </w:p>
        <w:p w14:paraId="396842C7">
          <w:pPr>
            <w:pStyle w:val="16"/>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z w:val="32"/>
              <w:szCs w:val="32"/>
              <w:highlight w:val="none"/>
            </w:rPr>
            <w:fldChar w:fldCharType="begin"/>
          </w:r>
          <w:r>
            <w:rPr>
              <w:rFonts w:hint="default" w:ascii="Times New Roman" w:hAnsi="Times New Roman" w:eastAsia="方正仿宋_GBK" w:cs="Times New Roman"/>
              <w:sz w:val="32"/>
              <w:szCs w:val="32"/>
              <w:highlight w:val="none"/>
            </w:rPr>
            <w:instrText xml:space="preserve"> HYPERLINK \l _Toc9957 </w:instrText>
          </w:r>
          <w:r>
            <w:rPr>
              <w:rFonts w:hint="default" w:ascii="Times New Roman" w:hAnsi="Times New Roman" w:eastAsia="方正仿宋_GBK" w:cs="Times New Roman"/>
              <w:sz w:val="32"/>
              <w:szCs w:val="32"/>
              <w:highlight w:val="none"/>
            </w:rPr>
            <w:fldChar w:fldCharType="separate"/>
          </w:r>
          <w:r>
            <w:rPr>
              <w:rFonts w:hint="default" w:ascii="Times New Roman" w:hAnsi="Times New Roman" w:eastAsia="方正仿宋_GBK" w:cs="Times New Roman"/>
              <w:sz w:val="32"/>
              <w:szCs w:val="32"/>
              <w:highlight w:val="none"/>
            </w:rPr>
            <w:t>五、一般公共预算财政拨款支出决算情况说明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_Toc9957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6</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color w:val="auto"/>
              <w:sz w:val="32"/>
              <w:szCs w:val="32"/>
              <w:highlight w:val="none"/>
            </w:rPr>
            <w:fldChar w:fldCharType="end"/>
          </w:r>
        </w:p>
        <w:p w14:paraId="2FB3DEA3">
          <w:pPr>
            <w:pStyle w:val="16"/>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z w:val="32"/>
              <w:szCs w:val="32"/>
              <w:highlight w:val="none"/>
            </w:rPr>
            <w:fldChar w:fldCharType="begin"/>
          </w:r>
          <w:r>
            <w:rPr>
              <w:rFonts w:hint="default" w:ascii="Times New Roman" w:hAnsi="Times New Roman" w:eastAsia="方正仿宋_GBK" w:cs="Times New Roman"/>
              <w:sz w:val="32"/>
              <w:szCs w:val="32"/>
              <w:highlight w:val="none"/>
            </w:rPr>
            <w:instrText xml:space="preserve"> HYPERLINK \l _Toc27644 </w:instrText>
          </w:r>
          <w:r>
            <w:rPr>
              <w:rFonts w:hint="default" w:ascii="Times New Roman" w:hAnsi="Times New Roman" w:eastAsia="方正仿宋_GBK" w:cs="Times New Roman"/>
              <w:sz w:val="32"/>
              <w:szCs w:val="32"/>
              <w:highlight w:val="none"/>
            </w:rPr>
            <w:fldChar w:fldCharType="separate"/>
          </w:r>
          <w:r>
            <w:rPr>
              <w:rFonts w:hint="default" w:ascii="Times New Roman" w:hAnsi="Times New Roman" w:eastAsia="方正仿宋_GBK" w:cs="Times New Roman"/>
              <w:sz w:val="32"/>
              <w:szCs w:val="32"/>
              <w:highlight w:val="none"/>
            </w:rPr>
            <w:t>六、一般公共预算财政拨款基本支出决算情况说明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_Toc27644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color w:val="auto"/>
              <w:sz w:val="32"/>
              <w:szCs w:val="32"/>
              <w:highlight w:val="none"/>
            </w:rPr>
            <w:fldChar w:fldCharType="end"/>
          </w:r>
        </w:p>
        <w:p w14:paraId="208600BF">
          <w:pPr>
            <w:pStyle w:val="16"/>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z w:val="32"/>
              <w:szCs w:val="32"/>
              <w:highlight w:val="none"/>
            </w:rPr>
            <w:fldChar w:fldCharType="begin"/>
          </w:r>
          <w:r>
            <w:rPr>
              <w:rFonts w:hint="default" w:ascii="Times New Roman" w:hAnsi="Times New Roman" w:eastAsia="方正仿宋_GBK" w:cs="Times New Roman"/>
              <w:sz w:val="32"/>
              <w:szCs w:val="32"/>
              <w:highlight w:val="none"/>
            </w:rPr>
            <w:instrText xml:space="preserve"> HYPERLINK \l _Toc24759 </w:instrText>
          </w:r>
          <w:r>
            <w:rPr>
              <w:rFonts w:hint="default" w:ascii="Times New Roman" w:hAnsi="Times New Roman" w:eastAsia="方正仿宋_GBK" w:cs="Times New Roman"/>
              <w:sz w:val="32"/>
              <w:szCs w:val="32"/>
              <w:highlight w:val="none"/>
            </w:rPr>
            <w:fldChar w:fldCharType="separate"/>
          </w:r>
          <w:r>
            <w:rPr>
              <w:rFonts w:hint="default" w:ascii="Times New Roman" w:hAnsi="Times New Roman" w:eastAsia="方正仿宋_GBK" w:cs="Times New Roman"/>
              <w:sz w:val="32"/>
              <w:szCs w:val="32"/>
              <w:highlight w:val="none"/>
            </w:rPr>
            <w:t>七、财政拨款“三公”经费支出决算情况说明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_Toc24759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11</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color w:val="auto"/>
              <w:sz w:val="32"/>
              <w:szCs w:val="32"/>
              <w:highlight w:val="none"/>
            </w:rPr>
            <w:fldChar w:fldCharType="end"/>
          </w:r>
        </w:p>
        <w:p w14:paraId="186A09A5">
          <w:pPr>
            <w:pStyle w:val="16"/>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z w:val="32"/>
              <w:szCs w:val="32"/>
              <w:highlight w:val="none"/>
            </w:rPr>
            <w:fldChar w:fldCharType="begin"/>
          </w:r>
          <w:r>
            <w:rPr>
              <w:rFonts w:hint="default" w:ascii="Times New Roman" w:hAnsi="Times New Roman" w:eastAsia="方正仿宋_GBK" w:cs="Times New Roman"/>
              <w:sz w:val="32"/>
              <w:szCs w:val="32"/>
              <w:highlight w:val="none"/>
            </w:rPr>
            <w:instrText xml:space="preserve"> HYPERLINK \l _Toc568 </w:instrText>
          </w:r>
          <w:r>
            <w:rPr>
              <w:rFonts w:hint="default" w:ascii="Times New Roman" w:hAnsi="Times New Roman" w:eastAsia="方正仿宋_GBK" w:cs="Times New Roman"/>
              <w:sz w:val="32"/>
              <w:szCs w:val="32"/>
              <w:highlight w:val="none"/>
            </w:rPr>
            <w:fldChar w:fldCharType="separate"/>
          </w:r>
          <w:r>
            <w:rPr>
              <w:rFonts w:hint="default" w:ascii="Times New Roman" w:hAnsi="Times New Roman" w:eastAsia="方正仿宋_GBK" w:cs="Times New Roman"/>
              <w:sz w:val="32"/>
              <w:szCs w:val="32"/>
              <w:highlight w:val="none"/>
            </w:rPr>
            <w:t>八、政府性基金预算支出决算情况说明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_Toc568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12</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color w:val="auto"/>
              <w:sz w:val="32"/>
              <w:szCs w:val="32"/>
              <w:highlight w:val="none"/>
            </w:rPr>
            <w:fldChar w:fldCharType="end"/>
          </w:r>
        </w:p>
        <w:p w14:paraId="03BEB386">
          <w:pPr>
            <w:pStyle w:val="16"/>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z w:val="32"/>
              <w:szCs w:val="32"/>
              <w:highlight w:val="none"/>
            </w:rPr>
            <w:fldChar w:fldCharType="begin"/>
          </w:r>
          <w:r>
            <w:rPr>
              <w:rFonts w:hint="default" w:ascii="Times New Roman" w:hAnsi="Times New Roman" w:eastAsia="方正仿宋_GBK" w:cs="Times New Roman"/>
              <w:sz w:val="32"/>
              <w:szCs w:val="32"/>
              <w:highlight w:val="none"/>
            </w:rPr>
            <w:instrText xml:space="preserve"> HYPERLINK \l _Toc31628 </w:instrText>
          </w:r>
          <w:r>
            <w:rPr>
              <w:rFonts w:hint="default" w:ascii="Times New Roman" w:hAnsi="Times New Roman" w:eastAsia="方正仿宋_GBK" w:cs="Times New Roman"/>
              <w:sz w:val="32"/>
              <w:szCs w:val="32"/>
              <w:highlight w:val="none"/>
            </w:rPr>
            <w:fldChar w:fldCharType="separate"/>
          </w:r>
          <w:r>
            <w:rPr>
              <w:rFonts w:hint="default" w:ascii="Times New Roman" w:hAnsi="Times New Roman" w:eastAsia="方正仿宋_GBK" w:cs="Times New Roman"/>
              <w:sz w:val="32"/>
              <w:szCs w:val="32"/>
              <w:highlight w:val="none"/>
              <w:lang w:eastAsia="zh-CN"/>
            </w:rPr>
            <w:t>九、</w:t>
          </w:r>
          <w:r>
            <w:rPr>
              <w:rFonts w:hint="default" w:ascii="Times New Roman" w:hAnsi="Times New Roman" w:eastAsia="方正仿宋_GBK" w:cs="Times New Roman"/>
              <w:sz w:val="32"/>
              <w:szCs w:val="32"/>
              <w:highlight w:val="none"/>
            </w:rPr>
            <w:t>国有资本经营预算支出决算情况说明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_Toc31628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12</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color w:val="auto"/>
              <w:sz w:val="32"/>
              <w:szCs w:val="32"/>
              <w:highlight w:val="none"/>
            </w:rPr>
            <w:fldChar w:fldCharType="end"/>
          </w:r>
        </w:p>
        <w:p w14:paraId="387FB5D9">
          <w:pPr>
            <w:pStyle w:val="16"/>
            <w:tabs>
              <w:tab w:val="right" w:leader="dot" w:pos="8306"/>
              <w:tab w:val="clear" w:pos="8296"/>
            </w:tabs>
            <w:rPr>
              <w:rFonts w:hint="default" w:ascii="Times New Roman" w:hAnsi="Times New Roman" w:eastAsia="方正仿宋_GBK" w:cs="Times New Roman"/>
              <w:sz w:val="32"/>
              <w:szCs w:val="32"/>
            </w:rPr>
          </w:pPr>
          <w:r>
            <w:rPr>
              <w:rFonts w:hint="default" w:ascii="Times New Roman" w:hAnsi="Times New Roman" w:eastAsia="方正仿宋_GBK" w:cs="Times New Roman"/>
              <w:color w:val="auto"/>
              <w:sz w:val="32"/>
              <w:szCs w:val="32"/>
              <w:highlight w:val="none"/>
            </w:rPr>
            <w:fldChar w:fldCharType="begin"/>
          </w:r>
          <w:r>
            <w:rPr>
              <w:rFonts w:hint="default" w:ascii="Times New Roman" w:hAnsi="Times New Roman" w:eastAsia="方正仿宋_GBK" w:cs="Times New Roman"/>
              <w:sz w:val="32"/>
              <w:szCs w:val="32"/>
              <w:highlight w:val="none"/>
            </w:rPr>
            <w:instrText xml:space="preserve"> HYPERLINK \l _Toc7991 </w:instrText>
          </w:r>
          <w:r>
            <w:rPr>
              <w:rFonts w:hint="default" w:ascii="Times New Roman" w:hAnsi="Times New Roman" w:eastAsia="方正仿宋_GBK" w:cs="Times New Roman"/>
              <w:sz w:val="32"/>
              <w:szCs w:val="32"/>
              <w:highlight w:val="none"/>
            </w:rPr>
            <w:fldChar w:fldCharType="separate"/>
          </w:r>
          <w:r>
            <w:rPr>
              <w:rFonts w:hint="default" w:ascii="Times New Roman" w:hAnsi="Times New Roman" w:eastAsia="方正仿宋_GBK" w:cs="Times New Roman"/>
              <w:sz w:val="32"/>
              <w:szCs w:val="32"/>
              <w:highlight w:val="none"/>
              <w:lang w:eastAsia="zh-CN"/>
            </w:rPr>
            <w:t>十、</w:t>
          </w:r>
          <w:r>
            <w:rPr>
              <w:rFonts w:hint="default" w:ascii="Times New Roman" w:hAnsi="Times New Roman" w:eastAsia="方正仿宋_GBK" w:cs="Times New Roman"/>
              <w:sz w:val="32"/>
              <w:szCs w:val="32"/>
              <w:highlight w:val="none"/>
            </w:rPr>
            <w:t>其他重要事项的情况说明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_Toc7991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13</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color w:val="auto"/>
              <w:sz w:val="32"/>
              <w:szCs w:val="32"/>
              <w:highlight w:val="none"/>
            </w:rPr>
            <w:fldChar w:fldCharType="end"/>
          </w:r>
        </w:p>
        <w:p w14:paraId="5C452452">
          <w:pPr>
            <w:pStyle w:val="15"/>
            <w:tabs>
              <w:tab w:val="right" w:leader="dot" w:pos="8306"/>
              <w:tab w:val="clear" w:pos="8296"/>
            </w:tabs>
            <w:rPr>
              <w:rFonts w:hint="default" w:ascii="Times New Roman" w:hAnsi="Times New Roman" w:cs="Times New Roman"/>
              <w:sz w:val="32"/>
              <w:szCs w:val="32"/>
            </w:rPr>
          </w:pPr>
          <w:r>
            <w:rPr>
              <w:rFonts w:hint="default" w:ascii="Times New Roman" w:hAnsi="Times New Roman" w:cs="Times New Roman"/>
              <w:color w:val="auto"/>
              <w:sz w:val="32"/>
              <w:szCs w:val="32"/>
              <w:highlight w:val="none"/>
            </w:rPr>
            <w:fldChar w:fldCharType="begin"/>
          </w:r>
          <w:r>
            <w:rPr>
              <w:rFonts w:hint="default" w:ascii="Times New Roman" w:hAnsi="Times New Roman" w:cs="Times New Roman"/>
              <w:sz w:val="32"/>
              <w:szCs w:val="32"/>
              <w:highlight w:val="none"/>
            </w:rPr>
            <w:instrText xml:space="preserve"> HYPERLINK \l _Toc18866 </w:instrText>
          </w:r>
          <w:r>
            <w:rPr>
              <w:rFonts w:hint="default" w:ascii="Times New Roman" w:hAnsi="Times New Roman" w:cs="Times New Roman"/>
              <w:sz w:val="32"/>
              <w:szCs w:val="32"/>
              <w:highlight w:val="none"/>
            </w:rPr>
            <w:fldChar w:fldCharType="separate"/>
          </w:r>
          <w:r>
            <w:rPr>
              <w:rFonts w:hint="default" w:ascii="Times New Roman" w:hAnsi="Times New Roman" w:eastAsia="黑体" w:cs="Times New Roman"/>
              <w:sz w:val="32"/>
              <w:szCs w:val="32"/>
              <w:highlight w:val="none"/>
            </w:rPr>
            <w:t>第</w:t>
          </w:r>
          <w:r>
            <w:rPr>
              <w:rFonts w:hint="default" w:ascii="Times New Roman" w:hAnsi="Times New Roman" w:eastAsia="黑体" w:cs="Times New Roman"/>
              <w:sz w:val="32"/>
              <w:szCs w:val="32"/>
              <w:highlight w:val="none"/>
              <w:lang w:eastAsia="zh-CN"/>
            </w:rPr>
            <w:t>三</w:t>
          </w:r>
          <w:r>
            <w:rPr>
              <w:rFonts w:hint="default" w:ascii="Times New Roman" w:hAnsi="Times New Roman" w:eastAsia="黑体" w:cs="Times New Roman"/>
              <w:sz w:val="32"/>
              <w:szCs w:val="32"/>
              <w:highlight w:val="none"/>
            </w:rPr>
            <w:t>部分</w:t>
          </w:r>
          <w:r>
            <w:rPr>
              <w:rFonts w:hint="default" w:ascii="Times New Roman" w:hAnsi="Times New Roman" w:eastAsia="黑体" w:cs="Times New Roman"/>
              <w:sz w:val="32"/>
              <w:szCs w:val="32"/>
              <w:highlight w:val="none"/>
              <w:lang w:val="en-US" w:eastAsia="zh-CN"/>
            </w:rPr>
            <w:t xml:space="preserve">  </w:t>
          </w:r>
          <w:r>
            <w:rPr>
              <w:rFonts w:hint="default" w:ascii="Times New Roman" w:hAnsi="Times New Roman" w:eastAsia="黑体" w:cs="Times New Roman"/>
              <w:sz w:val="32"/>
              <w:szCs w:val="32"/>
              <w:highlight w:val="none"/>
            </w:rPr>
            <w:t>名词解释</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_Toc18866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15</w:t>
          </w:r>
          <w:r>
            <w:rPr>
              <w:rFonts w:hint="default" w:ascii="Times New Roman" w:hAnsi="Times New Roman" w:cs="Times New Roman"/>
              <w:sz w:val="32"/>
              <w:szCs w:val="32"/>
            </w:rPr>
            <w:fldChar w:fldCharType="end"/>
          </w:r>
          <w:r>
            <w:rPr>
              <w:rFonts w:hint="default" w:ascii="Times New Roman" w:hAnsi="Times New Roman" w:cs="Times New Roman"/>
              <w:color w:val="auto"/>
              <w:sz w:val="32"/>
              <w:szCs w:val="32"/>
              <w:highlight w:val="none"/>
            </w:rPr>
            <w:fldChar w:fldCharType="end"/>
          </w:r>
        </w:p>
        <w:p w14:paraId="3B2D52B8">
          <w:pPr>
            <w:pStyle w:val="15"/>
            <w:tabs>
              <w:tab w:val="right" w:leader="dot" w:pos="8306"/>
              <w:tab w:val="clear" w:pos="8296"/>
            </w:tabs>
            <w:rPr>
              <w:rFonts w:hint="default" w:ascii="Times New Roman" w:hAnsi="Times New Roman" w:cs="Times New Roman"/>
              <w:sz w:val="32"/>
              <w:szCs w:val="32"/>
            </w:rPr>
          </w:pPr>
          <w:r>
            <w:rPr>
              <w:rFonts w:hint="default" w:ascii="Times New Roman" w:hAnsi="Times New Roman" w:cs="Times New Roman"/>
              <w:color w:val="auto"/>
              <w:sz w:val="32"/>
              <w:szCs w:val="32"/>
              <w:highlight w:val="none"/>
            </w:rPr>
            <w:fldChar w:fldCharType="begin"/>
          </w:r>
          <w:r>
            <w:rPr>
              <w:rFonts w:hint="default" w:ascii="Times New Roman" w:hAnsi="Times New Roman" w:cs="Times New Roman"/>
              <w:sz w:val="32"/>
              <w:szCs w:val="32"/>
              <w:highlight w:val="none"/>
            </w:rPr>
            <w:instrText xml:space="preserve"> HYPERLINK \l _Toc31868 </w:instrText>
          </w:r>
          <w:r>
            <w:rPr>
              <w:rFonts w:hint="default" w:ascii="Times New Roman" w:hAnsi="Times New Roman" w:cs="Times New Roman"/>
              <w:sz w:val="32"/>
              <w:szCs w:val="32"/>
              <w:highlight w:val="none"/>
            </w:rPr>
            <w:fldChar w:fldCharType="separate"/>
          </w:r>
          <w:r>
            <w:rPr>
              <w:rFonts w:hint="default" w:ascii="Times New Roman" w:hAnsi="Times New Roman" w:eastAsia="黑体" w:cs="Times New Roman"/>
              <w:sz w:val="32"/>
              <w:szCs w:val="32"/>
              <w:highlight w:val="none"/>
            </w:rPr>
            <w:t>第四部分</w:t>
          </w:r>
          <w:r>
            <w:rPr>
              <w:rFonts w:hint="default" w:ascii="Times New Roman" w:hAnsi="Times New Roman" w:eastAsia="黑体" w:cs="Times New Roman"/>
              <w:sz w:val="32"/>
              <w:szCs w:val="32"/>
              <w:highlight w:val="none"/>
              <w:lang w:val="en-US" w:eastAsia="zh-CN"/>
            </w:rPr>
            <w:t xml:space="preserve"> </w:t>
          </w:r>
          <w:r>
            <w:rPr>
              <w:rFonts w:hint="default" w:ascii="Times New Roman" w:hAnsi="Times New Roman" w:eastAsia="黑体" w:cs="Times New Roman"/>
              <w:sz w:val="32"/>
              <w:szCs w:val="32"/>
              <w:highlight w:val="none"/>
            </w:rPr>
            <w:t xml:space="preserve"> 附件</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_Toc31868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18</w:t>
          </w:r>
          <w:r>
            <w:rPr>
              <w:rFonts w:hint="default" w:ascii="Times New Roman" w:hAnsi="Times New Roman" w:cs="Times New Roman"/>
              <w:sz w:val="32"/>
              <w:szCs w:val="32"/>
            </w:rPr>
            <w:fldChar w:fldCharType="end"/>
          </w:r>
          <w:r>
            <w:rPr>
              <w:rFonts w:hint="default" w:ascii="Times New Roman" w:hAnsi="Times New Roman" w:cs="Times New Roman"/>
              <w:color w:val="auto"/>
              <w:sz w:val="32"/>
              <w:szCs w:val="32"/>
              <w:highlight w:val="none"/>
            </w:rPr>
            <w:fldChar w:fldCharType="end"/>
          </w:r>
        </w:p>
        <w:p w14:paraId="197884A4">
          <w:pPr>
            <w:pStyle w:val="15"/>
            <w:tabs>
              <w:tab w:val="right" w:leader="dot" w:pos="8306"/>
              <w:tab w:val="clear" w:pos="8296"/>
            </w:tabs>
            <w:rPr>
              <w:rFonts w:hint="default" w:ascii="Times New Roman" w:hAnsi="Times New Roman" w:cs="Times New Roman"/>
              <w:sz w:val="32"/>
              <w:szCs w:val="32"/>
            </w:rPr>
          </w:pPr>
          <w:r>
            <w:rPr>
              <w:rFonts w:hint="default" w:ascii="Times New Roman" w:hAnsi="Times New Roman" w:cs="Times New Roman"/>
              <w:color w:val="auto"/>
              <w:sz w:val="32"/>
              <w:szCs w:val="32"/>
              <w:highlight w:val="none"/>
            </w:rPr>
            <w:fldChar w:fldCharType="begin"/>
          </w:r>
          <w:r>
            <w:rPr>
              <w:rFonts w:hint="default" w:ascii="Times New Roman" w:hAnsi="Times New Roman" w:cs="Times New Roman"/>
              <w:sz w:val="32"/>
              <w:szCs w:val="32"/>
              <w:highlight w:val="none"/>
            </w:rPr>
            <w:instrText xml:space="preserve"> HYPERLINK \l _Toc13666 </w:instrText>
          </w:r>
          <w:r>
            <w:rPr>
              <w:rFonts w:hint="default" w:ascii="Times New Roman" w:hAnsi="Times New Roman" w:cs="Times New Roman"/>
              <w:sz w:val="32"/>
              <w:szCs w:val="32"/>
              <w:highlight w:val="none"/>
            </w:rPr>
            <w:fldChar w:fldCharType="separate"/>
          </w:r>
          <w:r>
            <w:rPr>
              <w:rFonts w:hint="default" w:ascii="Times New Roman" w:hAnsi="Times New Roman" w:eastAsia="黑体" w:cs="Times New Roman"/>
              <w:sz w:val="32"/>
              <w:szCs w:val="32"/>
              <w:highlight w:val="none"/>
            </w:rPr>
            <w:t>第五部分 附表</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_Toc13666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26</w:t>
          </w:r>
          <w:r>
            <w:rPr>
              <w:rFonts w:hint="default" w:ascii="Times New Roman" w:hAnsi="Times New Roman" w:cs="Times New Roman"/>
              <w:sz w:val="32"/>
              <w:szCs w:val="32"/>
            </w:rPr>
            <w:fldChar w:fldCharType="end"/>
          </w:r>
          <w:r>
            <w:rPr>
              <w:rFonts w:hint="default" w:ascii="Times New Roman" w:hAnsi="Times New Roman" w:cs="Times New Roman"/>
              <w:color w:val="auto"/>
              <w:sz w:val="32"/>
              <w:szCs w:val="32"/>
              <w:highlight w:val="none"/>
            </w:rPr>
            <w:fldChar w:fldCharType="end"/>
          </w:r>
        </w:p>
        <w:p w14:paraId="44E022FE">
          <w:pPr>
            <w:pStyle w:val="16"/>
            <w:tabs>
              <w:tab w:val="right" w:leader="dot" w:pos="8306"/>
              <w:tab w:val="clear" w:pos="8296"/>
            </w:tabs>
            <w:rPr>
              <w:rFonts w:hint="default" w:ascii="Times New Roman" w:hAnsi="Times New Roman" w:cs="Times New Roman"/>
              <w:sz w:val="32"/>
              <w:szCs w:val="32"/>
            </w:rPr>
          </w:pPr>
          <w:r>
            <w:rPr>
              <w:rFonts w:hint="default" w:ascii="Times New Roman" w:hAnsi="Times New Roman" w:cs="Times New Roman"/>
              <w:color w:val="auto"/>
              <w:sz w:val="32"/>
              <w:szCs w:val="32"/>
              <w:highlight w:val="none"/>
            </w:rPr>
            <w:fldChar w:fldCharType="begin"/>
          </w:r>
          <w:r>
            <w:rPr>
              <w:rFonts w:hint="default" w:ascii="Times New Roman" w:hAnsi="Times New Roman" w:cs="Times New Roman"/>
              <w:sz w:val="32"/>
              <w:szCs w:val="32"/>
              <w:highlight w:val="none"/>
            </w:rPr>
            <w:instrText xml:space="preserve"> HYPERLINK \l _Toc7955 </w:instrText>
          </w:r>
          <w:r>
            <w:rPr>
              <w:rFonts w:hint="default" w:ascii="Times New Roman" w:hAnsi="Times New Roman" w:cs="Times New Roman"/>
              <w:sz w:val="32"/>
              <w:szCs w:val="32"/>
              <w:highlight w:val="none"/>
            </w:rPr>
            <w:fldChar w:fldCharType="separate"/>
          </w:r>
          <w:r>
            <w:rPr>
              <w:rFonts w:hint="default" w:ascii="Times New Roman" w:hAnsi="Times New Roman" w:eastAsia="方正仿宋_GBK" w:cs="Times New Roman"/>
              <w:sz w:val="32"/>
              <w:szCs w:val="32"/>
              <w:highlight w:val="none"/>
            </w:rPr>
            <w:t>一、收入支出决算总表</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_Toc7955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26</w:t>
          </w:r>
          <w:r>
            <w:rPr>
              <w:rFonts w:hint="default" w:ascii="Times New Roman" w:hAnsi="Times New Roman" w:cs="Times New Roman"/>
              <w:sz w:val="32"/>
              <w:szCs w:val="32"/>
            </w:rPr>
            <w:fldChar w:fldCharType="end"/>
          </w:r>
          <w:r>
            <w:rPr>
              <w:rFonts w:hint="default" w:ascii="Times New Roman" w:hAnsi="Times New Roman" w:cs="Times New Roman"/>
              <w:color w:val="auto"/>
              <w:sz w:val="32"/>
              <w:szCs w:val="32"/>
              <w:highlight w:val="none"/>
            </w:rPr>
            <w:fldChar w:fldCharType="end"/>
          </w:r>
        </w:p>
        <w:p w14:paraId="6A6508F9">
          <w:pPr>
            <w:pStyle w:val="16"/>
            <w:tabs>
              <w:tab w:val="right" w:leader="dot" w:pos="8306"/>
              <w:tab w:val="clear" w:pos="8296"/>
            </w:tabs>
            <w:rPr>
              <w:rFonts w:hint="default" w:ascii="Times New Roman" w:hAnsi="Times New Roman" w:cs="Times New Roman"/>
              <w:sz w:val="32"/>
              <w:szCs w:val="32"/>
            </w:rPr>
          </w:pPr>
          <w:r>
            <w:rPr>
              <w:rFonts w:hint="default" w:ascii="Times New Roman" w:hAnsi="Times New Roman" w:cs="Times New Roman"/>
              <w:color w:val="auto"/>
              <w:sz w:val="32"/>
              <w:szCs w:val="32"/>
              <w:highlight w:val="none"/>
            </w:rPr>
            <w:fldChar w:fldCharType="begin"/>
          </w:r>
          <w:r>
            <w:rPr>
              <w:rFonts w:hint="default" w:ascii="Times New Roman" w:hAnsi="Times New Roman" w:cs="Times New Roman"/>
              <w:sz w:val="32"/>
              <w:szCs w:val="32"/>
              <w:highlight w:val="none"/>
            </w:rPr>
            <w:instrText xml:space="preserve"> HYPERLINK \l _Toc19527 </w:instrText>
          </w:r>
          <w:r>
            <w:rPr>
              <w:rFonts w:hint="default" w:ascii="Times New Roman" w:hAnsi="Times New Roman" w:cs="Times New Roman"/>
              <w:sz w:val="32"/>
              <w:szCs w:val="32"/>
              <w:highlight w:val="none"/>
            </w:rPr>
            <w:fldChar w:fldCharType="separate"/>
          </w:r>
          <w:r>
            <w:rPr>
              <w:rFonts w:hint="default" w:ascii="Times New Roman" w:hAnsi="Times New Roman" w:eastAsia="方正仿宋_GBK" w:cs="Times New Roman"/>
              <w:sz w:val="32"/>
              <w:szCs w:val="32"/>
              <w:highlight w:val="none"/>
            </w:rPr>
            <w:t>二、收入决算表</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_Toc19527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26</w:t>
          </w:r>
          <w:r>
            <w:rPr>
              <w:rFonts w:hint="default" w:ascii="Times New Roman" w:hAnsi="Times New Roman" w:cs="Times New Roman"/>
              <w:sz w:val="32"/>
              <w:szCs w:val="32"/>
            </w:rPr>
            <w:fldChar w:fldCharType="end"/>
          </w:r>
          <w:r>
            <w:rPr>
              <w:rFonts w:hint="default" w:ascii="Times New Roman" w:hAnsi="Times New Roman" w:cs="Times New Roman"/>
              <w:color w:val="auto"/>
              <w:sz w:val="32"/>
              <w:szCs w:val="32"/>
              <w:highlight w:val="none"/>
            </w:rPr>
            <w:fldChar w:fldCharType="end"/>
          </w:r>
        </w:p>
        <w:p w14:paraId="7C65E79A">
          <w:pPr>
            <w:pStyle w:val="16"/>
            <w:tabs>
              <w:tab w:val="right" w:leader="dot" w:pos="8306"/>
              <w:tab w:val="clear" w:pos="8296"/>
            </w:tabs>
            <w:rPr>
              <w:rFonts w:hint="default" w:ascii="Times New Roman" w:hAnsi="Times New Roman" w:cs="Times New Roman"/>
              <w:sz w:val="32"/>
              <w:szCs w:val="32"/>
            </w:rPr>
          </w:pPr>
          <w:r>
            <w:rPr>
              <w:rFonts w:hint="default" w:ascii="Times New Roman" w:hAnsi="Times New Roman" w:cs="Times New Roman"/>
              <w:color w:val="auto"/>
              <w:sz w:val="32"/>
              <w:szCs w:val="32"/>
              <w:highlight w:val="none"/>
            </w:rPr>
            <w:fldChar w:fldCharType="begin"/>
          </w:r>
          <w:r>
            <w:rPr>
              <w:rFonts w:hint="default" w:ascii="Times New Roman" w:hAnsi="Times New Roman" w:cs="Times New Roman"/>
              <w:sz w:val="32"/>
              <w:szCs w:val="32"/>
              <w:highlight w:val="none"/>
            </w:rPr>
            <w:instrText xml:space="preserve"> HYPERLINK \l _Toc20357 </w:instrText>
          </w:r>
          <w:r>
            <w:rPr>
              <w:rFonts w:hint="default" w:ascii="Times New Roman" w:hAnsi="Times New Roman" w:cs="Times New Roman"/>
              <w:sz w:val="32"/>
              <w:szCs w:val="32"/>
              <w:highlight w:val="none"/>
            </w:rPr>
            <w:fldChar w:fldCharType="separate"/>
          </w:r>
          <w:r>
            <w:rPr>
              <w:rFonts w:hint="default" w:ascii="Times New Roman" w:hAnsi="Times New Roman" w:eastAsia="方正仿宋_GBK" w:cs="Times New Roman"/>
              <w:sz w:val="32"/>
              <w:szCs w:val="32"/>
              <w:highlight w:val="none"/>
            </w:rPr>
            <w:t>三、支出决算表</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_Toc20357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26</w:t>
          </w:r>
          <w:r>
            <w:rPr>
              <w:rFonts w:hint="default" w:ascii="Times New Roman" w:hAnsi="Times New Roman" w:cs="Times New Roman"/>
              <w:sz w:val="32"/>
              <w:szCs w:val="32"/>
            </w:rPr>
            <w:fldChar w:fldCharType="end"/>
          </w:r>
          <w:r>
            <w:rPr>
              <w:rFonts w:hint="default" w:ascii="Times New Roman" w:hAnsi="Times New Roman" w:cs="Times New Roman"/>
              <w:color w:val="auto"/>
              <w:sz w:val="32"/>
              <w:szCs w:val="32"/>
              <w:highlight w:val="none"/>
            </w:rPr>
            <w:fldChar w:fldCharType="end"/>
          </w:r>
        </w:p>
        <w:p w14:paraId="6F0BE958">
          <w:pPr>
            <w:pStyle w:val="16"/>
            <w:tabs>
              <w:tab w:val="right" w:leader="dot" w:pos="8306"/>
              <w:tab w:val="clear" w:pos="8296"/>
            </w:tabs>
            <w:rPr>
              <w:rFonts w:hint="default" w:ascii="Times New Roman" w:hAnsi="Times New Roman" w:cs="Times New Roman"/>
              <w:sz w:val="32"/>
              <w:szCs w:val="32"/>
            </w:rPr>
          </w:pPr>
          <w:r>
            <w:rPr>
              <w:rFonts w:hint="default" w:ascii="Times New Roman" w:hAnsi="Times New Roman" w:cs="Times New Roman"/>
              <w:color w:val="auto"/>
              <w:sz w:val="32"/>
              <w:szCs w:val="32"/>
              <w:highlight w:val="none"/>
            </w:rPr>
            <w:fldChar w:fldCharType="begin"/>
          </w:r>
          <w:r>
            <w:rPr>
              <w:rFonts w:hint="default" w:ascii="Times New Roman" w:hAnsi="Times New Roman" w:cs="Times New Roman"/>
              <w:sz w:val="32"/>
              <w:szCs w:val="32"/>
              <w:highlight w:val="none"/>
            </w:rPr>
            <w:instrText xml:space="preserve"> HYPERLINK \l _Toc2087 </w:instrText>
          </w:r>
          <w:r>
            <w:rPr>
              <w:rFonts w:hint="default" w:ascii="Times New Roman" w:hAnsi="Times New Roman" w:cs="Times New Roman"/>
              <w:sz w:val="32"/>
              <w:szCs w:val="32"/>
              <w:highlight w:val="none"/>
            </w:rPr>
            <w:fldChar w:fldCharType="separate"/>
          </w:r>
          <w:r>
            <w:rPr>
              <w:rFonts w:hint="default" w:ascii="Times New Roman" w:hAnsi="Times New Roman" w:eastAsia="方正仿宋_GBK" w:cs="Times New Roman"/>
              <w:sz w:val="32"/>
              <w:szCs w:val="32"/>
              <w:highlight w:val="none"/>
            </w:rPr>
            <w:t>四、财政拨款收入支出决算总表</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_Toc2087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26</w:t>
          </w:r>
          <w:r>
            <w:rPr>
              <w:rFonts w:hint="default" w:ascii="Times New Roman" w:hAnsi="Times New Roman" w:cs="Times New Roman"/>
              <w:sz w:val="32"/>
              <w:szCs w:val="32"/>
            </w:rPr>
            <w:fldChar w:fldCharType="end"/>
          </w:r>
          <w:r>
            <w:rPr>
              <w:rFonts w:hint="default" w:ascii="Times New Roman" w:hAnsi="Times New Roman" w:cs="Times New Roman"/>
              <w:color w:val="auto"/>
              <w:sz w:val="32"/>
              <w:szCs w:val="32"/>
              <w:highlight w:val="none"/>
            </w:rPr>
            <w:fldChar w:fldCharType="end"/>
          </w:r>
        </w:p>
        <w:p w14:paraId="346CFA01">
          <w:pPr>
            <w:pStyle w:val="16"/>
            <w:tabs>
              <w:tab w:val="right" w:leader="dot" w:pos="8306"/>
              <w:tab w:val="clear" w:pos="8296"/>
            </w:tabs>
            <w:rPr>
              <w:rFonts w:hint="default" w:ascii="Times New Roman" w:hAnsi="Times New Roman" w:cs="Times New Roman"/>
              <w:sz w:val="32"/>
              <w:szCs w:val="32"/>
            </w:rPr>
          </w:pPr>
          <w:r>
            <w:rPr>
              <w:rFonts w:hint="default" w:ascii="Times New Roman" w:hAnsi="Times New Roman" w:cs="Times New Roman"/>
              <w:color w:val="auto"/>
              <w:sz w:val="32"/>
              <w:szCs w:val="32"/>
              <w:highlight w:val="none"/>
            </w:rPr>
            <w:fldChar w:fldCharType="begin"/>
          </w:r>
          <w:r>
            <w:rPr>
              <w:rFonts w:hint="default" w:ascii="Times New Roman" w:hAnsi="Times New Roman" w:cs="Times New Roman"/>
              <w:sz w:val="32"/>
              <w:szCs w:val="32"/>
              <w:highlight w:val="none"/>
            </w:rPr>
            <w:instrText xml:space="preserve"> HYPERLINK \l _Toc11869 </w:instrText>
          </w:r>
          <w:r>
            <w:rPr>
              <w:rFonts w:hint="default" w:ascii="Times New Roman" w:hAnsi="Times New Roman" w:cs="Times New Roman"/>
              <w:sz w:val="32"/>
              <w:szCs w:val="32"/>
              <w:highlight w:val="none"/>
            </w:rPr>
            <w:fldChar w:fldCharType="separate"/>
          </w:r>
          <w:r>
            <w:rPr>
              <w:rFonts w:hint="default" w:ascii="Times New Roman" w:hAnsi="Times New Roman" w:eastAsia="方正仿宋_GBK" w:cs="Times New Roman"/>
              <w:sz w:val="32"/>
              <w:szCs w:val="32"/>
              <w:highlight w:val="none"/>
            </w:rPr>
            <w:t>五、财政拨款支出决算明细表</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_Toc11869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26</w:t>
          </w:r>
          <w:r>
            <w:rPr>
              <w:rFonts w:hint="default" w:ascii="Times New Roman" w:hAnsi="Times New Roman" w:cs="Times New Roman"/>
              <w:sz w:val="32"/>
              <w:szCs w:val="32"/>
            </w:rPr>
            <w:fldChar w:fldCharType="end"/>
          </w:r>
          <w:r>
            <w:rPr>
              <w:rFonts w:hint="default" w:ascii="Times New Roman" w:hAnsi="Times New Roman" w:cs="Times New Roman"/>
              <w:color w:val="auto"/>
              <w:sz w:val="32"/>
              <w:szCs w:val="32"/>
              <w:highlight w:val="none"/>
            </w:rPr>
            <w:fldChar w:fldCharType="end"/>
          </w:r>
        </w:p>
        <w:p w14:paraId="430E5D48">
          <w:pPr>
            <w:pStyle w:val="16"/>
            <w:tabs>
              <w:tab w:val="right" w:leader="dot" w:pos="8306"/>
              <w:tab w:val="clear" w:pos="8296"/>
            </w:tabs>
            <w:rPr>
              <w:rFonts w:hint="default" w:ascii="Times New Roman" w:hAnsi="Times New Roman" w:cs="Times New Roman"/>
              <w:sz w:val="32"/>
              <w:szCs w:val="32"/>
            </w:rPr>
          </w:pPr>
          <w:r>
            <w:rPr>
              <w:rFonts w:hint="default" w:ascii="Times New Roman" w:hAnsi="Times New Roman" w:cs="Times New Roman"/>
              <w:color w:val="auto"/>
              <w:sz w:val="32"/>
              <w:szCs w:val="32"/>
              <w:highlight w:val="none"/>
            </w:rPr>
            <w:fldChar w:fldCharType="begin"/>
          </w:r>
          <w:r>
            <w:rPr>
              <w:rFonts w:hint="default" w:ascii="Times New Roman" w:hAnsi="Times New Roman" w:cs="Times New Roman"/>
              <w:sz w:val="32"/>
              <w:szCs w:val="32"/>
              <w:highlight w:val="none"/>
            </w:rPr>
            <w:instrText xml:space="preserve"> HYPERLINK \l _Toc17882 </w:instrText>
          </w:r>
          <w:r>
            <w:rPr>
              <w:rFonts w:hint="default" w:ascii="Times New Roman" w:hAnsi="Times New Roman" w:cs="Times New Roman"/>
              <w:sz w:val="32"/>
              <w:szCs w:val="32"/>
              <w:highlight w:val="none"/>
            </w:rPr>
            <w:fldChar w:fldCharType="separate"/>
          </w:r>
          <w:r>
            <w:rPr>
              <w:rFonts w:hint="default" w:ascii="Times New Roman" w:hAnsi="Times New Roman" w:eastAsia="方正仿宋_GBK" w:cs="Times New Roman"/>
              <w:sz w:val="32"/>
              <w:szCs w:val="32"/>
              <w:highlight w:val="none"/>
            </w:rPr>
            <w:t>六、一般公共预算财政拨款支出决算表</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_Toc17882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26</w:t>
          </w:r>
          <w:r>
            <w:rPr>
              <w:rFonts w:hint="default" w:ascii="Times New Roman" w:hAnsi="Times New Roman" w:cs="Times New Roman"/>
              <w:sz w:val="32"/>
              <w:szCs w:val="32"/>
            </w:rPr>
            <w:fldChar w:fldCharType="end"/>
          </w:r>
          <w:r>
            <w:rPr>
              <w:rFonts w:hint="default" w:ascii="Times New Roman" w:hAnsi="Times New Roman" w:cs="Times New Roman"/>
              <w:color w:val="auto"/>
              <w:sz w:val="32"/>
              <w:szCs w:val="32"/>
              <w:highlight w:val="none"/>
            </w:rPr>
            <w:fldChar w:fldCharType="end"/>
          </w:r>
        </w:p>
        <w:p w14:paraId="32C9FF8A">
          <w:pPr>
            <w:pStyle w:val="16"/>
            <w:tabs>
              <w:tab w:val="right" w:leader="dot" w:pos="8306"/>
              <w:tab w:val="clear" w:pos="8296"/>
            </w:tabs>
            <w:rPr>
              <w:rFonts w:hint="default" w:ascii="Times New Roman" w:hAnsi="Times New Roman" w:cs="Times New Roman"/>
              <w:sz w:val="32"/>
              <w:szCs w:val="32"/>
            </w:rPr>
          </w:pPr>
          <w:r>
            <w:rPr>
              <w:rFonts w:hint="default" w:ascii="Times New Roman" w:hAnsi="Times New Roman" w:cs="Times New Roman"/>
              <w:color w:val="auto"/>
              <w:sz w:val="32"/>
              <w:szCs w:val="32"/>
              <w:highlight w:val="none"/>
            </w:rPr>
            <w:fldChar w:fldCharType="begin"/>
          </w:r>
          <w:r>
            <w:rPr>
              <w:rFonts w:hint="default" w:ascii="Times New Roman" w:hAnsi="Times New Roman" w:cs="Times New Roman"/>
              <w:sz w:val="32"/>
              <w:szCs w:val="32"/>
              <w:highlight w:val="none"/>
            </w:rPr>
            <w:instrText xml:space="preserve"> HYPERLINK \l _Toc12733 </w:instrText>
          </w:r>
          <w:r>
            <w:rPr>
              <w:rFonts w:hint="default" w:ascii="Times New Roman" w:hAnsi="Times New Roman" w:cs="Times New Roman"/>
              <w:sz w:val="32"/>
              <w:szCs w:val="32"/>
              <w:highlight w:val="none"/>
            </w:rPr>
            <w:fldChar w:fldCharType="separate"/>
          </w:r>
          <w:r>
            <w:rPr>
              <w:rFonts w:hint="default" w:ascii="Times New Roman" w:hAnsi="Times New Roman" w:eastAsia="方正仿宋_GBK" w:cs="Times New Roman"/>
              <w:sz w:val="32"/>
              <w:szCs w:val="32"/>
              <w:highlight w:val="none"/>
            </w:rPr>
            <w:t>七、一般公共预算财政拨款支出决算明细表</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_Toc12733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26</w:t>
          </w:r>
          <w:r>
            <w:rPr>
              <w:rFonts w:hint="default" w:ascii="Times New Roman" w:hAnsi="Times New Roman" w:cs="Times New Roman"/>
              <w:sz w:val="32"/>
              <w:szCs w:val="32"/>
            </w:rPr>
            <w:fldChar w:fldCharType="end"/>
          </w:r>
          <w:r>
            <w:rPr>
              <w:rFonts w:hint="default" w:ascii="Times New Roman" w:hAnsi="Times New Roman" w:cs="Times New Roman"/>
              <w:color w:val="auto"/>
              <w:sz w:val="32"/>
              <w:szCs w:val="32"/>
              <w:highlight w:val="none"/>
            </w:rPr>
            <w:fldChar w:fldCharType="end"/>
          </w:r>
        </w:p>
        <w:p w14:paraId="15529CA4">
          <w:pPr>
            <w:pStyle w:val="16"/>
            <w:tabs>
              <w:tab w:val="right" w:leader="dot" w:pos="8306"/>
              <w:tab w:val="clear" w:pos="8296"/>
            </w:tabs>
            <w:rPr>
              <w:rFonts w:hint="default" w:ascii="Times New Roman" w:hAnsi="Times New Roman" w:cs="Times New Roman"/>
              <w:sz w:val="32"/>
              <w:szCs w:val="32"/>
            </w:rPr>
          </w:pPr>
          <w:r>
            <w:rPr>
              <w:rFonts w:hint="default" w:ascii="Times New Roman" w:hAnsi="Times New Roman" w:cs="Times New Roman"/>
              <w:color w:val="auto"/>
              <w:sz w:val="32"/>
              <w:szCs w:val="32"/>
              <w:highlight w:val="none"/>
            </w:rPr>
            <w:fldChar w:fldCharType="begin"/>
          </w:r>
          <w:r>
            <w:rPr>
              <w:rFonts w:hint="default" w:ascii="Times New Roman" w:hAnsi="Times New Roman" w:cs="Times New Roman"/>
              <w:sz w:val="32"/>
              <w:szCs w:val="32"/>
              <w:highlight w:val="none"/>
            </w:rPr>
            <w:instrText xml:space="preserve"> HYPERLINK \l _Toc9458 </w:instrText>
          </w:r>
          <w:r>
            <w:rPr>
              <w:rFonts w:hint="default" w:ascii="Times New Roman" w:hAnsi="Times New Roman" w:cs="Times New Roman"/>
              <w:sz w:val="32"/>
              <w:szCs w:val="32"/>
              <w:highlight w:val="none"/>
            </w:rPr>
            <w:fldChar w:fldCharType="separate"/>
          </w:r>
          <w:r>
            <w:rPr>
              <w:rFonts w:hint="default" w:ascii="Times New Roman" w:hAnsi="Times New Roman" w:eastAsia="方正仿宋_GBK" w:cs="Times New Roman"/>
              <w:sz w:val="32"/>
              <w:szCs w:val="32"/>
              <w:highlight w:val="none"/>
            </w:rPr>
            <w:t>八、一般公共预算财政拨款基本支出决算表</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_Toc9458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26</w:t>
          </w:r>
          <w:r>
            <w:rPr>
              <w:rFonts w:hint="default" w:ascii="Times New Roman" w:hAnsi="Times New Roman" w:cs="Times New Roman"/>
              <w:sz w:val="32"/>
              <w:szCs w:val="32"/>
            </w:rPr>
            <w:fldChar w:fldCharType="end"/>
          </w:r>
          <w:r>
            <w:rPr>
              <w:rFonts w:hint="default" w:ascii="Times New Roman" w:hAnsi="Times New Roman" w:cs="Times New Roman"/>
              <w:color w:val="auto"/>
              <w:sz w:val="32"/>
              <w:szCs w:val="32"/>
              <w:highlight w:val="none"/>
            </w:rPr>
            <w:fldChar w:fldCharType="end"/>
          </w:r>
        </w:p>
        <w:p w14:paraId="4DDFD5A3">
          <w:pPr>
            <w:pStyle w:val="16"/>
            <w:tabs>
              <w:tab w:val="right" w:leader="dot" w:pos="8306"/>
              <w:tab w:val="clear" w:pos="8296"/>
            </w:tabs>
            <w:rPr>
              <w:rFonts w:hint="default" w:ascii="Times New Roman" w:hAnsi="Times New Roman" w:cs="Times New Roman"/>
              <w:sz w:val="32"/>
              <w:szCs w:val="32"/>
            </w:rPr>
          </w:pPr>
          <w:r>
            <w:rPr>
              <w:rFonts w:hint="default" w:ascii="Times New Roman" w:hAnsi="Times New Roman" w:cs="Times New Roman"/>
              <w:color w:val="auto"/>
              <w:sz w:val="32"/>
              <w:szCs w:val="32"/>
              <w:highlight w:val="none"/>
            </w:rPr>
            <w:fldChar w:fldCharType="begin"/>
          </w:r>
          <w:r>
            <w:rPr>
              <w:rFonts w:hint="default" w:ascii="Times New Roman" w:hAnsi="Times New Roman" w:cs="Times New Roman"/>
              <w:sz w:val="32"/>
              <w:szCs w:val="32"/>
              <w:highlight w:val="none"/>
            </w:rPr>
            <w:instrText xml:space="preserve"> HYPERLINK \l _Toc31973 </w:instrText>
          </w:r>
          <w:r>
            <w:rPr>
              <w:rFonts w:hint="default" w:ascii="Times New Roman" w:hAnsi="Times New Roman" w:cs="Times New Roman"/>
              <w:sz w:val="32"/>
              <w:szCs w:val="32"/>
              <w:highlight w:val="none"/>
            </w:rPr>
            <w:fldChar w:fldCharType="separate"/>
          </w:r>
          <w:r>
            <w:rPr>
              <w:rFonts w:hint="default" w:ascii="Times New Roman" w:hAnsi="Times New Roman" w:eastAsia="方正仿宋_GBK" w:cs="Times New Roman"/>
              <w:sz w:val="32"/>
              <w:szCs w:val="32"/>
              <w:highlight w:val="none"/>
            </w:rPr>
            <w:t>九、一般公共预算财政拨款项目支出决算表</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_Toc31973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26</w:t>
          </w:r>
          <w:r>
            <w:rPr>
              <w:rFonts w:hint="default" w:ascii="Times New Roman" w:hAnsi="Times New Roman" w:cs="Times New Roman"/>
              <w:sz w:val="32"/>
              <w:szCs w:val="32"/>
            </w:rPr>
            <w:fldChar w:fldCharType="end"/>
          </w:r>
          <w:r>
            <w:rPr>
              <w:rFonts w:hint="default" w:ascii="Times New Roman" w:hAnsi="Times New Roman" w:cs="Times New Roman"/>
              <w:color w:val="auto"/>
              <w:sz w:val="32"/>
              <w:szCs w:val="32"/>
              <w:highlight w:val="none"/>
            </w:rPr>
            <w:fldChar w:fldCharType="end"/>
          </w:r>
        </w:p>
        <w:p w14:paraId="1DF60F3C">
          <w:pPr>
            <w:pStyle w:val="16"/>
            <w:tabs>
              <w:tab w:val="right" w:leader="dot" w:pos="8306"/>
              <w:tab w:val="clear" w:pos="8296"/>
            </w:tabs>
            <w:rPr>
              <w:rFonts w:hint="default" w:ascii="Times New Roman" w:hAnsi="Times New Roman" w:cs="Times New Roman"/>
              <w:sz w:val="32"/>
              <w:szCs w:val="32"/>
            </w:rPr>
          </w:pPr>
          <w:r>
            <w:rPr>
              <w:rFonts w:hint="default" w:ascii="Times New Roman" w:hAnsi="Times New Roman" w:cs="Times New Roman"/>
              <w:color w:val="auto"/>
              <w:sz w:val="32"/>
              <w:szCs w:val="32"/>
              <w:highlight w:val="none"/>
            </w:rPr>
            <w:fldChar w:fldCharType="begin"/>
          </w:r>
          <w:r>
            <w:rPr>
              <w:rFonts w:hint="default" w:ascii="Times New Roman" w:hAnsi="Times New Roman" w:cs="Times New Roman"/>
              <w:sz w:val="32"/>
              <w:szCs w:val="32"/>
              <w:highlight w:val="none"/>
            </w:rPr>
            <w:instrText xml:space="preserve"> HYPERLINK \l _Toc7626 </w:instrText>
          </w:r>
          <w:r>
            <w:rPr>
              <w:rFonts w:hint="default" w:ascii="Times New Roman" w:hAnsi="Times New Roman" w:cs="Times New Roman"/>
              <w:sz w:val="32"/>
              <w:szCs w:val="32"/>
              <w:highlight w:val="none"/>
            </w:rPr>
            <w:fldChar w:fldCharType="separate"/>
          </w:r>
          <w:r>
            <w:rPr>
              <w:rFonts w:hint="default" w:ascii="Times New Roman" w:hAnsi="Times New Roman" w:eastAsia="方正仿宋_GBK" w:cs="Times New Roman"/>
              <w:sz w:val="32"/>
              <w:szCs w:val="32"/>
              <w:highlight w:val="none"/>
            </w:rPr>
            <w:t>十、政府性基金预算财政拨款收入支出决算表</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_Toc7626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26</w:t>
          </w:r>
          <w:r>
            <w:rPr>
              <w:rFonts w:hint="default" w:ascii="Times New Roman" w:hAnsi="Times New Roman" w:cs="Times New Roman"/>
              <w:sz w:val="32"/>
              <w:szCs w:val="32"/>
            </w:rPr>
            <w:fldChar w:fldCharType="end"/>
          </w:r>
          <w:r>
            <w:rPr>
              <w:rFonts w:hint="default" w:ascii="Times New Roman" w:hAnsi="Times New Roman" w:cs="Times New Roman"/>
              <w:color w:val="auto"/>
              <w:sz w:val="32"/>
              <w:szCs w:val="32"/>
              <w:highlight w:val="none"/>
            </w:rPr>
            <w:fldChar w:fldCharType="end"/>
          </w:r>
        </w:p>
        <w:p w14:paraId="362E2275">
          <w:pPr>
            <w:pStyle w:val="16"/>
            <w:tabs>
              <w:tab w:val="right" w:leader="dot" w:pos="8306"/>
              <w:tab w:val="clear" w:pos="8296"/>
            </w:tabs>
            <w:rPr>
              <w:rFonts w:hint="default" w:ascii="Times New Roman" w:hAnsi="Times New Roman" w:cs="Times New Roman"/>
              <w:sz w:val="32"/>
              <w:szCs w:val="32"/>
            </w:rPr>
          </w:pPr>
          <w:r>
            <w:rPr>
              <w:rFonts w:hint="default" w:ascii="Times New Roman" w:hAnsi="Times New Roman" w:cs="Times New Roman"/>
              <w:color w:val="auto"/>
              <w:sz w:val="32"/>
              <w:szCs w:val="32"/>
              <w:highlight w:val="none"/>
            </w:rPr>
            <w:fldChar w:fldCharType="begin"/>
          </w:r>
          <w:r>
            <w:rPr>
              <w:rFonts w:hint="default" w:ascii="Times New Roman" w:hAnsi="Times New Roman" w:cs="Times New Roman"/>
              <w:sz w:val="32"/>
              <w:szCs w:val="32"/>
              <w:highlight w:val="none"/>
            </w:rPr>
            <w:instrText xml:space="preserve"> HYPERLINK \l _Toc18575 </w:instrText>
          </w:r>
          <w:r>
            <w:rPr>
              <w:rFonts w:hint="default" w:ascii="Times New Roman" w:hAnsi="Times New Roman" w:cs="Times New Roman"/>
              <w:sz w:val="32"/>
              <w:szCs w:val="32"/>
              <w:highlight w:val="none"/>
            </w:rPr>
            <w:fldChar w:fldCharType="separate"/>
          </w:r>
          <w:r>
            <w:rPr>
              <w:rFonts w:hint="default" w:ascii="Times New Roman" w:hAnsi="Times New Roman" w:eastAsia="方正仿宋_GBK" w:cs="Times New Roman"/>
              <w:sz w:val="32"/>
              <w:szCs w:val="32"/>
              <w:highlight w:val="none"/>
            </w:rPr>
            <w:t>十一、国有资本经营预算</w:t>
          </w:r>
          <w:r>
            <w:rPr>
              <w:rFonts w:hint="default" w:ascii="Times New Roman" w:hAnsi="Times New Roman" w:eastAsia="方正仿宋_GBK" w:cs="Times New Roman"/>
              <w:sz w:val="32"/>
              <w:szCs w:val="32"/>
              <w:highlight w:val="none"/>
              <w:lang w:eastAsia="zh-CN"/>
            </w:rPr>
            <w:t>财政拨款收入</w:t>
          </w:r>
          <w:r>
            <w:rPr>
              <w:rFonts w:hint="default" w:ascii="Times New Roman" w:hAnsi="Times New Roman" w:eastAsia="方正仿宋_GBK" w:cs="Times New Roman"/>
              <w:sz w:val="32"/>
              <w:szCs w:val="32"/>
              <w:highlight w:val="none"/>
            </w:rPr>
            <w:t>支出决算表</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_Toc18575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26</w:t>
          </w:r>
          <w:r>
            <w:rPr>
              <w:rFonts w:hint="default" w:ascii="Times New Roman" w:hAnsi="Times New Roman" w:cs="Times New Roman"/>
              <w:sz w:val="32"/>
              <w:szCs w:val="32"/>
            </w:rPr>
            <w:fldChar w:fldCharType="end"/>
          </w:r>
          <w:r>
            <w:rPr>
              <w:rFonts w:hint="default" w:ascii="Times New Roman" w:hAnsi="Times New Roman" w:cs="Times New Roman"/>
              <w:color w:val="auto"/>
              <w:sz w:val="32"/>
              <w:szCs w:val="32"/>
              <w:highlight w:val="none"/>
            </w:rPr>
            <w:fldChar w:fldCharType="end"/>
          </w:r>
        </w:p>
        <w:p w14:paraId="743C4B5B">
          <w:pPr>
            <w:pStyle w:val="16"/>
            <w:tabs>
              <w:tab w:val="right" w:leader="dot" w:pos="8306"/>
              <w:tab w:val="clear" w:pos="8296"/>
            </w:tabs>
            <w:rPr>
              <w:rFonts w:hint="default" w:ascii="Times New Roman" w:hAnsi="Times New Roman" w:cs="Times New Roman"/>
              <w:sz w:val="32"/>
              <w:szCs w:val="32"/>
            </w:rPr>
          </w:pPr>
          <w:r>
            <w:rPr>
              <w:rFonts w:hint="default" w:ascii="Times New Roman" w:hAnsi="Times New Roman" w:cs="Times New Roman"/>
              <w:color w:val="auto"/>
              <w:sz w:val="32"/>
              <w:szCs w:val="32"/>
              <w:highlight w:val="none"/>
            </w:rPr>
            <w:fldChar w:fldCharType="begin"/>
          </w:r>
          <w:r>
            <w:rPr>
              <w:rFonts w:hint="default" w:ascii="Times New Roman" w:hAnsi="Times New Roman" w:cs="Times New Roman"/>
              <w:sz w:val="32"/>
              <w:szCs w:val="32"/>
              <w:highlight w:val="none"/>
            </w:rPr>
            <w:instrText xml:space="preserve"> HYPERLINK \l _Toc18640 </w:instrText>
          </w:r>
          <w:r>
            <w:rPr>
              <w:rFonts w:hint="default" w:ascii="Times New Roman" w:hAnsi="Times New Roman" w:cs="Times New Roman"/>
              <w:sz w:val="32"/>
              <w:szCs w:val="32"/>
              <w:highlight w:val="none"/>
            </w:rPr>
            <w:fldChar w:fldCharType="separate"/>
          </w:r>
          <w:r>
            <w:rPr>
              <w:rFonts w:hint="default" w:ascii="Times New Roman" w:hAnsi="Times New Roman" w:eastAsia="方正仿宋_GBK" w:cs="Times New Roman"/>
              <w:sz w:val="32"/>
              <w:szCs w:val="32"/>
              <w:highlight w:val="none"/>
            </w:rPr>
            <w:t>十二、</w:t>
          </w:r>
          <w:r>
            <w:rPr>
              <w:rFonts w:hint="default" w:ascii="Times New Roman" w:hAnsi="Times New Roman" w:eastAsia="方正仿宋_GBK" w:cs="Times New Roman"/>
              <w:sz w:val="32"/>
              <w:szCs w:val="32"/>
              <w:highlight w:val="none"/>
              <w:lang w:eastAsia="zh-CN"/>
            </w:rPr>
            <w:t>国有资本经营预算财政拨款支出决算表</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_Toc18640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26</w:t>
          </w:r>
          <w:r>
            <w:rPr>
              <w:rFonts w:hint="default" w:ascii="Times New Roman" w:hAnsi="Times New Roman" w:cs="Times New Roman"/>
              <w:sz w:val="32"/>
              <w:szCs w:val="32"/>
            </w:rPr>
            <w:fldChar w:fldCharType="end"/>
          </w:r>
          <w:r>
            <w:rPr>
              <w:rFonts w:hint="default" w:ascii="Times New Roman" w:hAnsi="Times New Roman" w:cs="Times New Roman"/>
              <w:color w:val="auto"/>
              <w:sz w:val="32"/>
              <w:szCs w:val="32"/>
              <w:highlight w:val="none"/>
            </w:rPr>
            <w:fldChar w:fldCharType="end"/>
          </w:r>
        </w:p>
        <w:p w14:paraId="378FF767">
          <w:pPr>
            <w:pStyle w:val="16"/>
            <w:tabs>
              <w:tab w:val="right" w:leader="dot" w:pos="8306"/>
              <w:tab w:val="clear" w:pos="8296"/>
            </w:tabs>
            <w:rPr>
              <w:rFonts w:hint="default" w:ascii="Times New Roman" w:hAnsi="Times New Roman" w:cs="Times New Roman"/>
              <w:sz w:val="32"/>
              <w:szCs w:val="32"/>
            </w:rPr>
          </w:pPr>
          <w:r>
            <w:rPr>
              <w:rFonts w:hint="default" w:ascii="Times New Roman" w:hAnsi="Times New Roman" w:cs="Times New Roman"/>
              <w:color w:val="auto"/>
              <w:sz w:val="32"/>
              <w:szCs w:val="32"/>
              <w:highlight w:val="none"/>
            </w:rPr>
            <w:fldChar w:fldCharType="begin"/>
          </w:r>
          <w:r>
            <w:rPr>
              <w:rFonts w:hint="default" w:ascii="Times New Roman" w:hAnsi="Times New Roman" w:cs="Times New Roman"/>
              <w:sz w:val="32"/>
              <w:szCs w:val="32"/>
              <w:highlight w:val="none"/>
            </w:rPr>
            <w:instrText xml:space="preserve"> HYPERLINK \l _Toc2959 </w:instrText>
          </w:r>
          <w:r>
            <w:rPr>
              <w:rFonts w:hint="default" w:ascii="Times New Roman" w:hAnsi="Times New Roman" w:cs="Times New Roman"/>
              <w:sz w:val="32"/>
              <w:szCs w:val="32"/>
              <w:highlight w:val="none"/>
            </w:rPr>
            <w:fldChar w:fldCharType="separate"/>
          </w:r>
          <w:r>
            <w:rPr>
              <w:rFonts w:hint="default" w:ascii="Times New Roman" w:hAnsi="Times New Roman" w:eastAsia="方正仿宋_GBK" w:cs="Times New Roman"/>
              <w:sz w:val="32"/>
              <w:szCs w:val="32"/>
              <w:highlight w:val="none"/>
            </w:rPr>
            <w:t>十三、</w:t>
          </w:r>
          <w:r>
            <w:rPr>
              <w:rFonts w:hint="default" w:ascii="Times New Roman" w:hAnsi="Times New Roman" w:eastAsia="方正仿宋_GBK" w:cs="Times New Roman"/>
              <w:sz w:val="32"/>
              <w:szCs w:val="32"/>
              <w:highlight w:val="none"/>
              <w:lang w:eastAsia="zh-CN"/>
            </w:rPr>
            <w:t>财政拨款“三公”经费支出决算表</w:t>
          </w:r>
          <w:r>
            <w:rPr>
              <w:rFonts w:hint="default" w:ascii="Times New Roman" w:hAnsi="Times New Roman" w:cs="Times New Roman"/>
              <w:sz w:val="32"/>
              <w:szCs w:val="32"/>
            </w:rPr>
            <w:tab/>
          </w:r>
          <w:r>
            <w:rPr>
              <w:rFonts w:hint="default" w:ascii="Times New Roman" w:hAnsi="Times New Roman" w:cs="Times New Roman"/>
              <w:sz w:val="32"/>
              <w:szCs w:val="32"/>
            </w:rPr>
            <w:fldChar w:fldCharType="begin"/>
          </w:r>
          <w:r>
            <w:rPr>
              <w:rFonts w:hint="default" w:ascii="Times New Roman" w:hAnsi="Times New Roman" w:cs="Times New Roman"/>
              <w:sz w:val="32"/>
              <w:szCs w:val="32"/>
            </w:rPr>
            <w:instrText xml:space="preserve"> PAGEREF _Toc2959 \h </w:instrText>
          </w:r>
          <w:r>
            <w:rPr>
              <w:rFonts w:hint="default" w:ascii="Times New Roman" w:hAnsi="Times New Roman" w:cs="Times New Roman"/>
              <w:sz w:val="32"/>
              <w:szCs w:val="32"/>
            </w:rPr>
            <w:fldChar w:fldCharType="separate"/>
          </w:r>
          <w:r>
            <w:rPr>
              <w:rFonts w:hint="default" w:ascii="Times New Roman" w:hAnsi="Times New Roman" w:cs="Times New Roman"/>
              <w:sz w:val="32"/>
              <w:szCs w:val="32"/>
            </w:rPr>
            <w:t>26</w:t>
          </w:r>
          <w:r>
            <w:rPr>
              <w:rFonts w:hint="default" w:ascii="Times New Roman" w:hAnsi="Times New Roman" w:cs="Times New Roman"/>
              <w:sz w:val="32"/>
              <w:szCs w:val="32"/>
            </w:rPr>
            <w:fldChar w:fldCharType="end"/>
          </w:r>
          <w:r>
            <w:rPr>
              <w:rFonts w:hint="default" w:ascii="Times New Roman" w:hAnsi="Times New Roman" w:cs="Times New Roman"/>
              <w:color w:val="auto"/>
              <w:sz w:val="32"/>
              <w:szCs w:val="32"/>
              <w:highlight w:val="none"/>
            </w:rPr>
            <w:fldChar w:fldCharType="end"/>
          </w:r>
        </w:p>
        <w:p w14:paraId="4BC73E6D">
          <w:pPr>
            <w:rPr>
              <w:rFonts w:ascii="Times New Roman" w:hAnsi="Times New Roman" w:eastAsia="宋体" w:cs="Times New Roman"/>
              <w:color w:val="auto"/>
              <w:kern w:val="2"/>
              <w:sz w:val="21"/>
              <w:szCs w:val="24"/>
              <w:highlight w:val="none"/>
              <w:lang w:val="en-US" w:eastAsia="zh-CN" w:bidi="ar-SA"/>
            </w:rPr>
          </w:pPr>
          <w:r>
            <w:rPr>
              <w:rFonts w:hint="default" w:ascii="Times New Roman" w:hAnsi="Times New Roman" w:cs="Times New Roman"/>
              <w:color w:val="auto"/>
              <w:sz w:val="32"/>
              <w:szCs w:val="32"/>
              <w:highlight w:val="none"/>
            </w:rPr>
            <w:fldChar w:fldCharType="end"/>
          </w:r>
        </w:p>
      </w:sdtContent>
    </w:sdt>
    <w:p w14:paraId="20B53B47">
      <w:pPr>
        <w:pStyle w:val="2"/>
      </w:pPr>
    </w:p>
    <w:p w14:paraId="21263E51">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bookmarkStart w:id="6" w:name="_Toc15396599"/>
      <w:bookmarkStart w:id="7" w:name="_Toc15377196"/>
      <w:r>
        <w:rPr>
          <w:rFonts w:hint="eastAsia" w:ascii="Times New Roman" w:hAnsi="Times New Roman" w:eastAsia="仿宋_GB2312" w:cs="仿宋_GB2312"/>
          <w:b/>
          <w:color w:val="auto"/>
          <w:sz w:val="32"/>
          <w:szCs w:val="32"/>
          <w:highlight w:val="none"/>
        </w:rPr>
        <w:br w:type="page"/>
      </w:r>
    </w:p>
    <w:p w14:paraId="07DBAA5D">
      <w:pPr>
        <w:pStyle w:val="5"/>
        <w:jc w:val="center"/>
        <w:rPr>
          <w:rFonts w:ascii="Times New Roman" w:hAnsi="Times New Roman" w:eastAsia="黑体"/>
          <w:color w:val="auto"/>
          <w:sz w:val="32"/>
          <w:szCs w:val="32"/>
          <w:highlight w:val="none"/>
        </w:rPr>
      </w:pPr>
      <w:bookmarkStart w:id="8" w:name="_Toc24502"/>
      <w:r>
        <w:rPr>
          <w:rFonts w:hint="eastAsia" w:ascii="方正小标宋_GBK" w:hAnsi="方正小标宋_GBK" w:eastAsia="方正小标宋_GBK" w:cs="方正小标宋_GBK"/>
          <w:b w:val="0"/>
          <w:color w:val="auto"/>
          <w:highlight w:val="none"/>
        </w:rPr>
        <w:t>第一部分</w:t>
      </w:r>
      <w:r>
        <w:rPr>
          <w:rFonts w:hint="eastAsia" w:ascii="方正小标宋_GBK" w:hAnsi="方正小标宋_GBK" w:eastAsia="方正小标宋_GBK" w:cs="方正小标宋_GBK"/>
          <w:b w:val="0"/>
          <w:color w:val="auto"/>
          <w:highlight w:val="none"/>
          <w:lang w:val="en-US" w:eastAsia="zh-CN"/>
        </w:rPr>
        <w:t xml:space="preserve"> </w:t>
      </w:r>
      <w:r>
        <w:rPr>
          <w:rFonts w:hint="eastAsia" w:ascii="方正小标宋_GBK" w:hAnsi="方正小标宋_GBK" w:eastAsia="方正小标宋_GBK" w:cs="方正小标宋_GBK"/>
          <w:b w:val="0"/>
          <w:color w:val="auto"/>
          <w:highlight w:val="none"/>
        </w:rPr>
        <w:t xml:space="preserve"> </w:t>
      </w:r>
      <w:r>
        <w:rPr>
          <w:rStyle w:val="30"/>
          <w:rFonts w:hint="eastAsia" w:ascii="方正小标宋_GBK" w:hAnsi="方正小标宋_GBK" w:eastAsia="方正小标宋_GBK" w:cs="方正小标宋_GBK"/>
          <w:b w:val="0"/>
          <w:bCs w:val="0"/>
          <w:color w:val="auto"/>
          <w:highlight w:val="none"/>
        </w:rPr>
        <w:t>部门概况</w:t>
      </w:r>
      <w:bookmarkEnd w:id="6"/>
      <w:bookmarkEnd w:id="7"/>
      <w:bookmarkEnd w:id="8"/>
    </w:p>
    <w:p w14:paraId="53CB3C0F">
      <w:pPr>
        <w:pStyle w:val="6"/>
        <w:rPr>
          <w:rStyle w:val="31"/>
          <w:rFonts w:hint="eastAsia" w:ascii="Times New Roman" w:hAnsi="Times New Roman" w:eastAsia="黑体"/>
          <w:b w:val="0"/>
          <w:bCs w:val="0"/>
          <w:color w:val="auto"/>
          <w:highlight w:val="none"/>
          <w:lang w:eastAsia="zh-CN"/>
        </w:rPr>
      </w:pPr>
      <w:bookmarkStart w:id="9" w:name="_Toc15377197"/>
      <w:bookmarkStart w:id="10" w:name="_Toc15396600"/>
      <w:bookmarkStart w:id="11" w:name="_Toc29807"/>
      <w:r>
        <w:rPr>
          <w:rFonts w:hint="eastAsia" w:ascii="Times New Roman" w:hAnsi="Times New Roman" w:eastAsia="黑体"/>
          <w:b w:val="0"/>
          <w:color w:val="auto"/>
          <w:highlight w:val="none"/>
        </w:rPr>
        <w:t>一、</w:t>
      </w:r>
      <w:bookmarkEnd w:id="9"/>
      <w:bookmarkEnd w:id="10"/>
      <w:r>
        <w:rPr>
          <w:rFonts w:hint="eastAsia" w:ascii="Times New Roman" w:hAnsi="Times New Roman" w:eastAsia="黑体"/>
          <w:b w:val="0"/>
          <w:color w:val="auto"/>
          <w:highlight w:val="none"/>
          <w:lang w:eastAsia="zh-CN"/>
        </w:rPr>
        <w:t>部门职责</w:t>
      </w:r>
      <w:bookmarkEnd w:id="11"/>
    </w:p>
    <w:p w14:paraId="2945CCE7">
      <w:pPr>
        <w:spacing w:line="240" w:lineRule="auto"/>
        <w:ind w:firstLine="640"/>
        <w:rPr>
          <w:rFonts w:hint="eastAsia"/>
          <w:lang w:eastAsia="zh-CN"/>
        </w:rPr>
      </w:pPr>
      <w:r>
        <w:rPr>
          <w:rFonts w:hint="eastAsia" w:ascii="方正仿宋_GBK" w:hAnsi="方正仿宋_GBK" w:eastAsia="方正仿宋_GBK" w:cs="方正仿宋_GBK"/>
          <w:sz w:val="32"/>
          <w:szCs w:val="32"/>
        </w:rPr>
        <w:t>一是负责党的纪律检查工作；二是依照党的章程和其他党内法规履行监督、执纪、问责职责；三是负责全市监察工作；四是依照法律规定履行监督、调查、处置职责；五是负责组织协调全面从严治党、党风廉政建设和反腐败宣传教育工作；六是负责综合分析全面从严治党、党风廉政建设和反腐败工作情况；七是协助市委管理、监督攀枝花纪检监察学院；八是完成市委、省纪委监委交办的其他任务。</w:t>
      </w:r>
    </w:p>
    <w:p w14:paraId="121A5C7B">
      <w:pPr>
        <w:pStyle w:val="6"/>
        <w:rPr>
          <w:rStyle w:val="31"/>
          <w:rFonts w:ascii="Times New Roman" w:hAnsi="Times New Roman"/>
          <w:b w:val="0"/>
          <w:bCs w:val="0"/>
          <w:color w:val="auto"/>
          <w:highlight w:val="none"/>
        </w:rPr>
      </w:pPr>
      <w:bookmarkStart w:id="12" w:name="_Toc15396601"/>
      <w:bookmarkStart w:id="13" w:name="_Toc15377200"/>
      <w:bookmarkStart w:id="14" w:name="_Toc4002"/>
      <w:bookmarkStart w:id="15" w:name="_Toc24106"/>
      <w:r>
        <w:rPr>
          <w:rFonts w:hint="eastAsia" w:ascii="Times New Roman" w:hAnsi="Times New Roman" w:eastAsia="黑体"/>
          <w:b w:val="0"/>
          <w:color w:val="auto"/>
          <w:highlight w:val="none"/>
        </w:rPr>
        <w:t>二、机</w:t>
      </w:r>
      <w:r>
        <w:rPr>
          <w:rStyle w:val="31"/>
          <w:rFonts w:hint="eastAsia" w:ascii="Times New Roman" w:hAnsi="Times New Roman" w:eastAsia="黑体"/>
          <w:b w:val="0"/>
          <w:bCs w:val="0"/>
          <w:color w:val="auto"/>
          <w:highlight w:val="none"/>
        </w:rPr>
        <w:t>构设置</w:t>
      </w:r>
      <w:bookmarkEnd w:id="12"/>
      <w:bookmarkEnd w:id="13"/>
      <w:bookmarkEnd w:id="14"/>
      <w:bookmarkEnd w:id="15"/>
    </w:p>
    <w:p w14:paraId="5F9339BA">
      <w:pPr>
        <w:spacing w:line="240" w:lineRule="auto"/>
        <w:ind w:firstLine="640" w:firstLineChars="200"/>
        <w:rPr>
          <w:rFonts w:hint="eastAsia" w:ascii="仿宋" w:hAnsi="仿宋" w:eastAsia="仿宋"/>
          <w:sz w:val="32"/>
          <w:szCs w:val="32"/>
        </w:rPr>
      </w:pPr>
      <w:bookmarkStart w:id="16" w:name="_Toc15378450"/>
      <w:bookmarkStart w:id="17" w:name="_Toc15377434"/>
      <w:bookmarkStart w:id="18" w:name="_Toc15377203"/>
      <w:bookmarkStart w:id="19" w:name="_Toc15306277"/>
      <w:r>
        <w:rPr>
          <w:rFonts w:eastAsia="方正仿宋_GBK"/>
          <w:sz w:val="32"/>
          <w:szCs w:val="32"/>
        </w:rPr>
        <w:t>中共攀枝花市</w:t>
      </w:r>
      <w:r>
        <w:rPr>
          <w:rFonts w:hint="eastAsia" w:eastAsia="方正仿宋_GBK"/>
          <w:sz w:val="32"/>
          <w:szCs w:val="32"/>
        </w:rPr>
        <w:t>纪律检查委员会</w:t>
      </w:r>
      <w:r>
        <w:rPr>
          <w:rFonts w:eastAsia="方正仿宋_GBK"/>
          <w:sz w:val="32"/>
          <w:szCs w:val="32"/>
        </w:rPr>
        <w:t xml:space="preserve"> 攀枝花市监察委员会（以下简称攀枝花市纪委监委）下属二级预算单位</w:t>
      </w:r>
      <w:r>
        <w:rPr>
          <w:rFonts w:eastAsia="方正仿宋_GBK"/>
          <w:b/>
          <w:bCs/>
          <w:sz w:val="32"/>
          <w:szCs w:val="32"/>
        </w:rPr>
        <w:t>2</w:t>
      </w:r>
      <w:r>
        <w:rPr>
          <w:rFonts w:eastAsia="方正仿宋_GBK"/>
          <w:sz w:val="32"/>
          <w:szCs w:val="32"/>
        </w:rPr>
        <w:t>个，其中行政单位</w:t>
      </w:r>
      <w:r>
        <w:rPr>
          <w:rFonts w:eastAsia="方正仿宋_GBK"/>
          <w:b/>
          <w:bCs/>
          <w:sz w:val="32"/>
          <w:szCs w:val="32"/>
        </w:rPr>
        <w:t>1</w:t>
      </w:r>
      <w:r>
        <w:rPr>
          <w:rFonts w:eastAsia="方正仿宋_GBK"/>
          <w:sz w:val="32"/>
          <w:szCs w:val="32"/>
        </w:rPr>
        <w:t>个，参照公务员法管理的事业单位</w:t>
      </w:r>
      <w:r>
        <w:rPr>
          <w:rFonts w:eastAsia="方正仿宋_GBK"/>
          <w:b/>
          <w:bCs/>
          <w:sz w:val="32"/>
          <w:szCs w:val="32"/>
        </w:rPr>
        <w:t>0</w:t>
      </w:r>
      <w:r>
        <w:rPr>
          <w:rFonts w:eastAsia="方正仿宋_GBK"/>
          <w:sz w:val="32"/>
          <w:szCs w:val="32"/>
        </w:rPr>
        <w:t>个，其他事业单位</w:t>
      </w:r>
      <w:r>
        <w:rPr>
          <w:rFonts w:eastAsia="方正仿宋_GBK"/>
          <w:b/>
          <w:bCs/>
          <w:sz w:val="32"/>
          <w:szCs w:val="32"/>
        </w:rPr>
        <w:t>1</w:t>
      </w:r>
      <w:r>
        <w:rPr>
          <w:rFonts w:eastAsia="方正仿宋_GBK"/>
          <w:sz w:val="32"/>
          <w:szCs w:val="32"/>
        </w:rPr>
        <w:t>个。</w:t>
      </w:r>
    </w:p>
    <w:p w14:paraId="78F8A2B3">
      <w:pPr>
        <w:pStyle w:val="10"/>
        <w:adjustRightInd w:val="0"/>
        <w:snapToGrid w:val="0"/>
        <w:spacing w:before="93" w:line="240" w:lineRule="auto"/>
        <w:ind w:firstLine="672" w:firstLineChars="210"/>
        <w:rPr>
          <w:rFonts w:ascii="Times New Roman" w:eastAsia="方正仿宋_GBK"/>
          <w:sz w:val="32"/>
          <w:szCs w:val="32"/>
        </w:rPr>
      </w:pPr>
      <w:bookmarkStart w:id="20" w:name="_Toc15377432"/>
      <w:bookmarkStart w:id="21" w:name="_Toc15377201"/>
      <w:bookmarkStart w:id="22" w:name="_Toc15378448"/>
      <w:bookmarkStart w:id="23" w:name="_Toc15306275"/>
      <w:r>
        <w:rPr>
          <w:rFonts w:ascii="Times New Roman" w:eastAsia="方正仿宋_GBK"/>
          <w:sz w:val="32"/>
          <w:szCs w:val="32"/>
        </w:rPr>
        <w:t>纳入攀枝花市纪委监委</w:t>
      </w:r>
      <w:r>
        <w:rPr>
          <w:rFonts w:ascii="Times New Roman" w:eastAsia="方正仿宋_GBK"/>
          <w:b/>
          <w:bCs/>
          <w:sz w:val="32"/>
          <w:szCs w:val="32"/>
        </w:rPr>
        <w:t>202</w:t>
      </w:r>
      <w:r>
        <w:rPr>
          <w:rFonts w:hint="eastAsia" w:ascii="Times New Roman" w:eastAsia="方正仿宋_GBK"/>
          <w:b/>
          <w:bCs/>
          <w:sz w:val="32"/>
          <w:szCs w:val="32"/>
          <w:lang w:val="en-US" w:eastAsia="zh-CN"/>
        </w:rPr>
        <w:t>5</w:t>
      </w:r>
      <w:r>
        <w:rPr>
          <w:rFonts w:ascii="Times New Roman" w:eastAsia="方正仿宋_GBK"/>
          <w:sz w:val="32"/>
          <w:szCs w:val="32"/>
        </w:rPr>
        <w:t>年度部门决算编制范围的二级预算单位包括：</w:t>
      </w:r>
    </w:p>
    <w:bookmarkEnd w:id="20"/>
    <w:bookmarkEnd w:id="21"/>
    <w:bookmarkEnd w:id="22"/>
    <w:bookmarkEnd w:id="23"/>
    <w:p w14:paraId="1E282EE6">
      <w:pPr>
        <w:adjustRightInd w:val="0"/>
        <w:snapToGrid w:val="0"/>
        <w:spacing w:line="240" w:lineRule="auto"/>
        <w:ind w:firstLine="640" w:firstLineChars="200"/>
        <w:rPr>
          <w:rFonts w:eastAsia="方正仿宋_GBK"/>
          <w:snapToGrid w:val="0"/>
          <w:kern w:val="0"/>
          <w:sz w:val="32"/>
          <w:szCs w:val="32"/>
        </w:rPr>
      </w:pPr>
      <w:bookmarkStart w:id="24" w:name="_Toc15378449"/>
      <w:bookmarkStart w:id="25" w:name="_Toc15377202"/>
      <w:bookmarkStart w:id="26" w:name="_Toc15377433"/>
      <w:bookmarkStart w:id="27" w:name="_Toc15306276"/>
      <w:bookmarkStart w:id="28" w:name="_Toc30089"/>
      <w:r>
        <w:rPr>
          <w:rFonts w:eastAsia="方正仿宋_GBK"/>
          <w:snapToGrid w:val="0"/>
          <w:kern w:val="0"/>
          <w:sz w:val="32"/>
          <w:szCs w:val="32"/>
        </w:rPr>
        <w:t>1.中共攀枝花市纪律检查委员会、</w:t>
      </w:r>
      <w:r>
        <w:rPr>
          <w:rFonts w:hint="eastAsia" w:eastAsia="方正仿宋_GBK"/>
          <w:snapToGrid w:val="0"/>
          <w:kern w:val="0"/>
          <w:sz w:val="32"/>
          <w:szCs w:val="32"/>
        </w:rPr>
        <w:t>攀枝花市</w:t>
      </w:r>
      <w:r>
        <w:rPr>
          <w:rFonts w:eastAsia="方正仿宋_GBK"/>
          <w:snapToGrid w:val="0"/>
          <w:kern w:val="0"/>
          <w:sz w:val="32"/>
          <w:szCs w:val="32"/>
        </w:rPr>
        <w:t>监察委员会机关</w:t>
      </w:r>
    </w:p>
    <w:p w14:paraId="6CDA9D8F">
      <w:pPr>
        <w:adjustRightInd w:val="0"/>
        <w:snapToGrid w:val="0"/>
        <w:spacing w:line="240" w:lineRule="auto"/>
        <w:ind w:left="640"/>
        <w:rPr>
          <w:rFonts w:eastAsia="方正仿宋_GBK"/>
          <w:snapToGrid w:val="0"/>
          <w:kern w:val="0"/>
          <w:sz w:val="33"/>
          <w:szCs w:val="33"/>
        </w:rPr>
      </w:pPr>
      <w:r>
        <w:rPr>
          <w:rFonts w:eastAsia="方正仿宋_GBK"/>
          <w:sz w:val="33"/>
          <w:szCs w:val="33"/>
        </w:rPr>
        <w:t>2.攀枝花市纪检监察教育培训与信息中心</w:t>
      </w:r>
      <w:bookmarkEnd w:id="24"/>
      <w:bookmarkEnd w:id="25"/>
      <w:bookmarkEnd w:id="26"/>
      <w:bookmarkEnd w:id="27"/>
      <w:bookmarkEnd w:id="28"/>
    </w:p>
    <w:bookmarkEnd w:id="16"/>
    <w:bookmarkEnd w:id="17"/>
    <w:bookmarkEnd w:id="18"/>
    <w:bookmarkEnd w:id="19"/>
    <w:p w14:paraId="7DCF41DA">
      <w:pPr>
        <w:widowControl/>
        <w:jc w:val="left"/>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14:paraId="1CCCDA38">
      <w:pPr>
        <w:pStyle w:val="5"/>
        <w:jc w:val="center"/>
        <w:rPr>
          <w:rFonts w:ascii="Times New Roman" w:hAnsi="Times New Roman"/>
          <w:color w:val="auto"/>
          <w:highlight w:val="none"/>
        </w:rPr>
      </w:pPr>
      <w:bookmarkStart w:id="29" w:name="_Toc15396602"/>
      <w:bookmarkStart w:id="30" w:name="_Toc14067"/>
      <w:bookmarkStart w:id="31" w:name="_Toc15377204"/>
      <w:r>
        <w:rPr>
          <w:rFonts w:hint="eastAsia" w:ascii="方正小标宋_GBK" w:hAnsi="方正小标宋_GBK" w:eastAsia="方正小标宋_GBK" w:cs="方正小标宋_GBK"/>
          <w:b w:val="0"/>
          <w:color w:val="auto"/>
          <w:highlight w:val="none"/>
        </w:rPr>
        <w:t>第二部分</w:t>
      </w:r>
      <w:r>
        <w:rPr>
          <w:rFonts w:hint="eastAsia" w:ascii="方正小标宋_GBK" w:hAnsi="方正小标宋_GBK" w:eastAsia="方正小标宋_GBK" w:cs="方正小标宋_GBK"/>
          <w:b w:val="0"/>
          <w:color w:val="auto"/>
          <w:highlight w:val="none"/>
          <w:lang w:val="en-US" w:eastAsia="zh-CN"/>
        </w:rPr>
        <w:t xml:space="preserve"> </w:t>
      </w:r>
      <w:r>
        <w:rPr>
          <w:rFonts w:hint="eastAsia" w:ascii="方正小标宋_GBK" w:hAnsi="方正小标宋_GBK" w:eastAsia="方正小标宋_GBK" w:cs="方正小标宋_GBK"/>
          <w:b w:val="0"/>
          <w:color w:val="auto"/>
          <w:highlight w:val="none"/>
        </w:rPr>
        <w:t xml:space="preserve"> </w:t>
      </w:r>
      <w:r>
        <w:rPr>
          <w:rFonts w:hint="eastAsia" w:ascii="方正小标宋_GBK" w:hAnsi="方正小标宋_GBK" w:eastAsia="方正小标宋_GBK" w:cs="方正小标宋_GBK"/>
          <w:b w:val="0"/>
          <w:color w:val="auto"/>
          <w:highlight w:val="none"/>
          <w:lang w:val="en-US" w:eastAsia="zh-CN"/>
        </w:rPr>
        <w:t>2025年度</w:t>
      </w:r>
      <w:r>
        <w:rPr>
          <w:rFonts w:hint="eastAsia" w:ascii="方正小标宋_GBK" w:hAnsi="方正小标宋_GBK" w:eastAsia="方正小标宋_GBK" w:cs="方正小标宋_GBK"/>
          <w:b w:val="0"/>
          <w:color w:val="auto"/>
          <w:highlight w:val="none"/>
        </w:rPr>
        <w:t>部门决算情况说明</w:t>
      </w:r>
      <w:bookmarkEnd w:id="29"/>
      <w:bookmarkEnd w:id="30"/>
      <w:bookmarkEnd w:id="31"/>
    </w:p>
    <w:p w14:paraId="34086E31">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1"/>
          <w:rFonts w:hint="eastAsia" w:ascii="Times New Roman" w:hAnsi="Times New Roman" w:eastAsia="黑体"/>
          <w:b w:val="0"/>
          <w:color w:val="auto"/>
          <w:highlight w:val="none"/>
        </w:rPr>
      </w:pPr>
      <w:bookmarkStart w:id="32" w:name="_Toc15377205"/>
      <w:bookmarkStart w:id="33" w:name="_Toc15396603"/>
      <w:bookmarkStart w:id="34" w:name="_Toc414"/>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1"/>
          <w:rFonts w:hint="eastAsia" w:ascii="Times New Roman" w:hAnsi="Times New Roman" w:eastAsia="黑体"/>
          <w:b w:val="0"/>
          <w:color w:val="auto"/>
          <w:highlight w:val="none"/>
        </w:rPr>
        <w:t>入支出决算总体情况说明</w:t>
      </w:r>
      <w:bookmarkEnd w:id="32"/>
      <w:bookmarkEnd w:id="33"/>
      <w:bookmarkEnd w:id="34"/>
    </w:p>
    <w:p w14:paraId="58BC5D4A">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9"/>
        <w:rPr>
          <w:rFonts w:hint="default" w:ascii="Times New Roman" w:hAnsi="Times New Roman" w:eastAsia="方正仿宋_GBK" w:cs="Times New Roman"/>
          <w:color w:val="auto"/>
          <w:sz w:val="32"/>
          <w:szCs w:val="32"/>
          <w:highlight w:val="none"/>
          <w:lang w:val="en-US" w:eastAsia="zh-CN"/>
        </w:rPr>
      </w:pPr>
      <w:r>
        <w:rPr>
          <w:rFonts w:hint="default" w:ascii="Times New Roman" w:hAnsi="Times New Roman" w:eastAsia="方正仿宋_GBK" w:cs="Times New Roman"/>
          <w:b/>
          <w:bCs/>
          <w:color w:val="auto"/>
          <w:sz w:val="32"/>
          <w:szCs w:val="32"/>
          <w:highlight w:val="none"/>
          <w:lang w:eastAsia="zh-CN"/>
        </w:rPr>
        <w:t>2025</w:t>
      </w:r>
      <w:r>
        <w:rPr>
          <w:rFonts w:hint="default" w:ascii="Times New Roman" w:hAnsi="Times New Roman" w:eastAsia="方正仿宋_GBK" w:cs="Times New Roman"/>
          <w:color w:val="auto"/>
          <w:sz w:val="32"/>
          <w:szCs w:val="32"/>
          <w:highlight w:val="none"/>
          <w:lang w:eastAsia="zh-CN"/>
        </w:rPr>
        <w:t>年度收入</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eastAsia="zh-CN"/>
        </w:rPr>
        <w:t>支出</w:t>
      </w:r>
      <w:r>
        <w:rPr>
          <w:rFonts w:hint="default" w:ascii="Times New Roman" w:hAnsi="Times New Roman" w:eastAsia="方正仿宋_GBK" w:cs="Times New Roman"/>
          <w:color w:val="auto"/>
          <w:sz w:val="32"/>
          <w:szCs w:val="32"/>
          <w:highlight w:val="none"/>
        </w:rPr>
        <w:t>总计</w:t>
      </w:r>
      <w:r>
        <w:rPr>
          <w:rFonts w:hint="default" w:ascii="Times New Roman" w:hAnsi="Times New Roman" w:eastAsia="方正仿宋_GBK" w:cs="Times New Roman"/>
          <w:color w:val="auto"/>
          <w:sz w:val="32"/>
          <w:szCs w:val="32"/>
          <w:highlight w:val="none"/>
          <w:lang w:eastAsia="zh-CN"/>
        </w:rPr>
        <w:t>均为</w:t>
      </w:r>
      <w:r>
        <w:rPr>
          <w:rFonts w:hint="default" w:ascii="Times New Roman" w:hAnsi="Times New Roman" w:eastAsia="方正仿宋_GBK" w:cs="Times New Roman"/>
          <w:b/>
          <w:bCs/>
          <w:sz w:val="32"/>
          <w:szCs w:val="32"/>
        </w:rPr>
        <w:t>4752.66</w:t>
      </w:r>
      <w:r>
        <w:rPr>
          <w:rFonts w:hint="default" w:ascii="Times New Roman" w:hAnsi="Times New Roman" w:eastAsia="方正仿宋_GBK" w:cs="Times New Roman"/>
          <w:color w:val="auto"/>
          <w:sz w:val="32"/>
          <w:szCs w:val="32"/>
          <w:highlight w:val="none"/>
        </w:rPr>
        <w:t>万元。与</w:t>
      </w:r>
      <w:r>
        <w:rPr>
          <w:rFonts w:hint="default" w:ascii="Times New Roman" w:hAnsi="Times New Roman" w:eastAsia="方正仿宋_GBK" w:cs="Times New Roman"/>
          <w:color w:val="auto"/>
          <w:sz w:val="32"/>
          <w:szCs w:val="32"/>
          <w:highlight w:val="none"/>
          <w:lang w:eastAsia="zh-CN"/>
        </w:rPr>
        <w:t>上</w:t>
      </w:r>
      <w:r>
        <w:rPr>
          <w:rFonts w:hint="default" w:ascii="Times New Roman" w:hAnsi="Times New Roman" w:eastAsia="方正仿宋_GBK" w:cs="Times New Roman"/>
          <w:color w:val="auto"/>
          <w:sz w:val="32"/>
          <w:szCs w:val="32"/>
          <w:highlight w:val="none"/>
        </w:rPr>
        <w:t>年</w:t>
      </w:r>
      <w:r>
        <w:rPr>
          <w:rFonts w:hint="default" w:ascii="Times New Roman" w:hAnsi="Times New Roman" w:eastAsia="方正仿宋_GBK" w:cs="Times New Roman"/>
          <w:color w:val="auto"/>
          <w:sz w:val="32"/>
          <w:szCs w:val="32"/>
          <w:highlight w:val="none"/>
          <w:lang w:eastAsia="zh-CN"/>
        </w:rPr>
        <w:t>度</w:t>
      </w:r>
      <w:r>
        <w:rPr>
          <w:rFonts w:hint="default" w:ascii="Times New Roman" w:hAnsi="Times New Roman" w:eastAsia="方正仿宋_GBK" w:cs="Times New Roman"/>
          <w:color w:val="auto"/>
          <w:sz w:val="32"/>
          <w:szCs w:val="32"/>
          <w:highlight w:val="none"/>
        </w:rPr>
        <w:t>相比，</w:t>
      </w:r>
      <w:r>
        <w:rPr>
          <w:rFonts w:hint="default" w:ascii="Times New Roman" w:hAnsi="Times New Roman" w:eastAsia="方正仿宋_GBK" w:cs="Times New Roman"/>
          <w:color w:val="auto"/>
          <w:sz w:val="32"/>
          <w:szCs w:val="32"/>
          <w:highlight w:val="none"/>
          <w:lang w:eastAsia="zh-CN"/>
        </w:rPr>
        <w:t>收入</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eastAsia="zh-CN"/>
        </w:rPr>
        <w:t>支出</w:t>
      </w:r>
      <w:r>
        <w:rPr>
          <w:rFonts w:hint="default" w:ascii="Times New Roman" w:hAnsi="Times New Roman" w:eastAsia="方正仿宋_GBK" w:cs="Times New Roman"/>
          <w:color w:val="auto"/>
          <w:sz w:val="32"/>
          <w:szCs w:val="32"/>
          <w:highlight w:val="none"/>
        </w:rPr>
        <w:t>总计各增加</w:t>
      </w:r>
      <w:r>
        <w:rPr>
          <w:rFonts w:hint="default" w:ascii="Times New Roman" w:hAnsi="Times New Roman" w:eastAsia="方正仿宋_GBK" w:cs="Times New Roman"/>
          <w:b/>
          <w:bCs/>
          <w:color w:val="auto"/>
          <w:sz w:val="32"/>
          <w:szCs w:val="32"/>
          <w:highlight w:val="none"/>
          <w:lang w:val="en-US" w:eastAsia="zh-CN"/>
        </w:rPr>
        <w:t>354.42</w:t>
      </w:r>
      <w:r>
        <w:rPr>
          <w:rFonts w:hint="default" w:ascii="Times New Roman" w:hAnsi="Times New Roman" w:eastAsia="方正仿宋_GBK" w:cs="Times New Roman"/>
          <w:color w:val="auto"/>
          <w:sz w:val="32"/>
          <w:szCs w:val="32"/>
          <w:highlight w:val="none"/>
        </w:rPr>
        <w:t>万元，增长</w:t>
      </w:r>
      <w:r>
        <w:rPr>
          <w:rFonts w:hint="default" w:ascii="Times New Roman" w:hAnsi="Times New Roman" w:eastAsia="方正仿宋_GBK" w:cs="Times New Roman"/>
          <w:b/>
          <w:bCs/>
          <w:color w:val="auto"/>
          <w:sz w:val="32"/>
          <w:szCs w:val="32"/>
          <w:highlight w:val="none"/>
          <w:lang w:val="en-US" w:eastAsia="zh-CN"/>
        </w:rPr>
        <w:t>8.06</w:t>
      </w:r>
      <w:r>
        <w:rPr>
          <w:rFonts w:hint="default" w:ascii="Times New Roman" w:hAnsi="Times New Roman" w:eastAsia="方正仿宋_GBK" w:cs="Times New Roman"/>
          <w:b/>
          <w:bCs/>
          <w:color w:val="auto"/>
          <w:sz w:val="32"/>
          <w:szCs w:val="32"/>
          <w:highlight w:val="none"/>
        </w:rPr>
        <w:t>%</w:t>
      </w:r>
      <w:r>
        <w:rPr>
          <w:rFonts w:hint="default" w:ascii="Times New Roman" w:hAnsi="Times New Roman" w:eastAsia="方正仿宋_GBK" w:cs="Times New Roman"/>
          <w:color w:val="auto"/>
          <w:sz w:val="32"/>
          <w:szCs w:val="32"/>
          <w:highlight w:val="none"/>
        </w:rPr>
        <w:t>。主要变动原因是</w:t>
      </w:r>
      <w:r>
        <w:rPr>
          <w:rFonts w:hint="default" w:ascii="Times New Roman" w:hAnsi="Times New Roman" w:eastAsia="方正仿宋_GBK" w:cs="Times New Roman"/>
          <w:color w:val="auto"/>
          <w:sz w:val="32"/>
          <w:szCs w:val="32"/>
          <w:highlight w:val="none"/>
          <w:lang w:val="en-US" w:eastAsia="zh-CN"/>
        </w:rPr>
        <w:t>项目经费和人员经费支出增加。</w:t>
      </w:r>
    </w:p>
    <w:p w14:paraId="6004F947">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default" w:ascii="Times New Roman" w:hAnsi="Times New Roman" w:eastAsia="方正仿宋_GBK" w:cs="Times New Roman"/>
          <w:color w:val="auto"/>
          <w:sz w:val="32"/>
          <w:szCs w:val="32"/>
          <w:highlight w:val="none"/>
        </w:rPr>
      </w:pPr>
      <w:r>
        <w:rPr>
          <w:rFonts w:hint="default" w:ascii="Times New Roman" w:hAnsi="Times New Roman" w:eastAsia="方正仿宋_GBK" w:cs="Times New Roman"/>
          <w:color w:val="auto"/>
          <w:sz w:val="32"/>
          <w:szCs w:val="32"/>
          <w:highlight w:val="none"/>
        </w:rPr>
        <w:t>（图1：</w:t>
      </w:r>
      <w:r>
        <w:rPr>
          <w:rFonts w:hint="default" w:ascii="Times New Roman" w:hAnsi="Times New Roman" w:eastAsia="方正仿宋_GBK" w:cs="Times New Roman"/>
          <w:color w:val="auto"/>
          <w:sz w:val="32"/>
          <w:szCs w:val="32"/>
          <w:highlight w:val="none"/>
          <w:lang w:eastAsia="zh-CN"/>
        </w:rPr>
        <w:t>收入</w:t>
      </w:r>
      <w:r>
        <w:rPr>
          <w:rFonts w:hint="default" w:ascii="Times New Roman" w:hAnsi="Times New Roman" w:eastAsia="方正仿宋_GBK" w:cs="Times New Roman"/>
          <w:color w:val="auto"/>
          <w:sz w:val="32"/>
          <w:szCs w:val="32"/>
          <w:highlight w:val="none"/>
        </w:rPr>
        <w:t>、</w:t>
      </w:r>
      <w:r>
        <w:rPr>
          <w:rFonts w:hint="default" w:ascii="Times New Roman" w:hAnsi="Times New Roman" w:eastAsia="方正仿宋_GBK" w:cs="Times New Roman"/>
          <w:color w:val="auto"/>
          <w:sz w:val="32"/>
          <w:szCs w:val="32"/>
          <w:highlight w:val="none"/>
          <w:lang w:eastAsia="zh-CN"/>
        </w:rPr>
        <w:t>支出</w:t>
      </w:r>
      <w:r>
        <w:rPr>
          <w:rFonts w:hint="default" w:ascii="Times New Roman" w:hAnsi="Times New Roman" w:eastAsia="方正仿宋_GBK" w:cs="Times New Roman"/>
          <w:color w:val="auto"/>
          <w:sz w:val="32"/>
          <w:szCs w:val="32"/>
          <w:highlight w:val="none"/>
        </w:rPr>
        <w:t>决算总计变动情况图）（柱状图）</w:t>
      </w:r>
    </w:p>
    <w:p w14:paraId="3113B3C0">
      <w:pPr>
        <w:keepNext w:val="0"/>
        <w:keepLines w:val="0"/>
        <w:pageBreakBefore w:val="0"/>
        <w:widowControl w:val="0"/>
        <w:kinsoku/>
        <w:wordWrap/>
        <w:overflowPunct/>
        <w:topLinePunct w:val="0"/>
        <w:autoSpaceDE/>
        <w:autoSpaceDN/>
        <w:bidi w:val="0"/>
        <w:adjustRightInd/>
        <w:snapToGrid/>
        <w:ind w:firstLine="640" w:firstLineChars="200"/>
        <w:jc w:val="center"/>
        <w:textAlignment w:val="auto"/>
        <w:rPr>
          <w:rFonts w:hint="eastAsia" w:ascii="Times New Roman" w:hAnsi="Times New Roman" w:eastAsia="仿宋_GB2312" w:cs="仿宋_GB2312"/>
          <w:color w:val="auto"/>
          <w:sz w:val="32"/>
          <w:szCs w:val="32"/>
          <w:highlight w:val="none"/>
        </w:rPr>
      </w:pPr>
      <w:r>
        <w:rPr>
          <w:rFonts w:hint="default" w:ascii="Times New Roman" w:hAnsi="Times New Roman" w:eastAsia="方正仿宋_GBK" w:cs="Times New Roman"/>
          <w:sz w:val="32"/>
          <w:szCs w:val="32"/>
        </w:rPr>
        <w:drawing>
          <wp:inline distT="0" distB="0" distL="114300" distR="114300">
            <wp:extent cx="4218305" cy="2252980"/>
            <wp:effectExtent l="4445" t="4445" r="6350" b="15875"/>
            <wp:docPr id="2" name="图表 2" descr="7b0a202020202263686172745265734964223a202234363631323739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6F0F11D">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35" w:name="_Toc15396604"/>
      <w:bookmarkStart w:id="36" w:name="_Toc7612"/>
      <w:bookmarkStart w:id="37" w:name="_Toc15377206"/>
      <w:r>
        <w:rPr>
          <w:rFonts w:hint="eastAsia" w:ascii="Times New Roman" w:hAnsi="Times New Roman" w:eastAsia="黑体"/>
          <w:color w:val="auto"/>
          <w:sz w:val="32"/>
          <w:szCs w:val="32"/>
          <w:highlight w:val="none"/>
          <w:lang w:eastAsia="zh-CN"/>
        </w:rPr>
        <w:t>二、收入决算情况说明</w:t>
      </w:r>
      <w:bookmarkEnd w:id="35"/>
      <w:bookmarkEnd w:id="36"/>
      <w:bookmarkEnd w:id="37"/>
    </w:p>
    <w:p w14:paraId="5E986155">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9"/>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b/>
          <w:bCs/>
          <w:color w:val="auto"/>
          <w:sz w:val="32"/>
          <w:szCs w:val="32"/>
          <w:highlight w:val="none"/>
          <w:lang w:eastAsia="zh-CN"/>
        </w:rPr>
        <w:t>2025</w:t>
      </w:r>
      <w:r>
        <w:rPr>
          <w:rFonts w:hint="default" w:ascii="Times New Roman" w:hAnsi="Times New Roman" w:eastAsia="方正仿宋_GBK" w:cs="Times New Roman"/>
          <w:color w:val="auto"/>
          <w:sz w:val="32"/>
          <w:szCs w:val="32"/>
          <w:highlight w:val="none"/>
          <w:lang w:eastAsia="zh-CN"/>
        </w:rPr>
        <w:t>年度本年收入合计</w:t>
      </w:r>
      <w:r>
        <w:rPr>
          <w:rFonts w:hint="default" w:ascii="Times New Roman" w:hAnsi="Times New Roman" w:eastAsia="方正仿宋_GBK" w:cs="Times New Roman"/>
          <w:b/>
          <w:bCs/>
          <w:sz w:val="32"/>
          <w:szCs w:val="32"/>
        </w:rPr>
        <w:t>4752.66</w:t>
      </w:r>
      <w:r>
        <w:rPr>
          <w:rFonts w:hint="default" w:ascii="Times New Roman" w:hAnsi="Times New Roman" w:eastAsia="方正仿宋_GBK" w:cs="Times New Roman"/>
          <w:color w:val="auto"/>
          <w:sz w:val="32"/>
          <w:szCs w:val="32"/>
          <w:highlight w:val="none"/>
          <w:lang w:eastAsia="zh-CN"/>
        </w:rPr>
        <w:t>万元，其中：一般公共预算财政拨款收入</w:t>
      </w:r>
      <w:r>
        <w:rPr>
          <w:rFonts w:hint="default" w:ascii="Times New Roman" w:hAnsi="Times New Roman" w:eastAsia="方正仿宋_GBK" w:cs="Times New Roman"/>
          <w:b/>
          <w:bCs/>
          <w:sz w:val="32"/>
          <w:szCs w:val="32"/>
        </w:rPr>
        <w:t>4752.48</w:t>
      </w:r>
      <w:r>
        <w:rPr>
          <w:rFonts w:hint="default" w:ascii="Times New Roman" w:hAnsi="Times New Roman" w:eastAsia="方正仿宋_GBK" w:cs="Times New Roman"/>
          <w:color w:val="auto"/>
          <w:sz w:val="32"/>
          <w:szCs w:val="32"/>
          <w:highlight w:val="none"/>
          <w:lang w:eastAsia="zh-CN"/>
        </w:rPr>
        <w:t>万元，占</w:t>
      </w:r>
      <w:r>
        <w:rPr>
          <w:rFonts w:hint="default" w:ascii="Times New Roman" w:hAnsi="Times New Roman" w:eastAsia="方正仿宋_GBK" w:cs="Times New Roman"/>
          <w:b/>
          <w:bCs/>
          <w:sz w:val="32"/>
          <w:szCs w:val="32"/>
        </w:rPr>
        <w:t>99.99</w:t>
      </w:r>
      <w:r>
        <w:rPr>
          <w:rFonts w:hint="default"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；政府性基金预算财政拨款收入</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color w:val="auto"/>
          <w:sz w:val="32"/>
          <w:szCs w:val="32"/>
          <w:highlight w:val="none"/>
          <w:lang w:eastAsia="zh-CN"/>
        </w:rPr>
        <w:t>万元，占</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；国有资本经营预算财政拨款收入</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color w:val="auto"/>
          <w:sz w:val="32"/>
          <w:szCs w:val="32"/>
          <w:highlight w:val="none"/>
          <w:lang w:eastAsia="zh-CN"/>
        </w:rPr>
        <w:t>万元，占</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；上级补助收入</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color w:val="auto"/>
          <w:sz w:val="32"/>
          <w:szCs w:val="32"/>
          <w:highlight w:val="none"/>
          <w:lang w:eastAsia="zh-CN"/>
        </w:rPr>
        <w:t>万元，占</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；事业收入</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color w:val="auto"/>
          <w:sz w:val="32"/>
          <w:szCs w:val="32"/>
          <w:highlight w:val="none"/>
          <w:lang w:eastAsia="zh-CN"/>
        </w:rPr>
        <w:t>万元，占</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；经营收入</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color w:val="auto"/>
          <w:sz w:val="32"/>
          <w:szCs w:val="32"/>
          <w:highlight w:val="none"/>
          <w:lang w:eastAsia="zh-CN"/>
        </w:rPr>
        <w:t>万元，占</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；附属单位上缴收入</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color w:val="auto"/>
          <w:sz w:val="32"/>
          <w:szCs w:val="32"/>
          <w:highlight w:val="none"/>
          <w:lang w:eastAsia="zh-CN"/>
        </w:rPr>
        <w:t>万元，占</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；其他收入</w:t>
      </w:r>
      <w:r>
        <w:rPr>
          <w:rFonts w:hint="default" w:ascii="Times New Roman" w:hAnsi="Times New Roman" w:eastAsia="方正仿宋_GBK" w:cs="Times New Roman"/>
          <w:b/>
          <w:bCs/>
          <w:sz w:val="32"/>
          <w:szCs w:val="32"/>
        </w:rPr>
        <w:t>0.18</w:t>
      </w:r>
      <w:r>
        <w:rPr>
          <w:rFonts w:hint="default" w:ascii="Times New Roman" w:hAnsi="Times New Roman" w:eastAsia="方正仿宋_GBK" w:cs="Times New Roman"/>
          <w:color w:val="auto"/>
          <w:sz w:val="32"/>
          <w:szCs w:val="32"/>
          <w:highlight w:val="none"/>
          <w:lang w:eastAsia="zh-CN"/>
        </w:rPr>
        <w:t>万元，占</w:t>
      </w:r>
      <w:r>
        <w:rPr>
          <w:rFonts w:hint="eastAsia" w:ascii="Times New Roman" w:hAnsi="Times New Roman" w:eastAsia="方正仿宋_GBK" w:cs="Times New Roman"/>
          <w:b/>
          <w:bCs/>
          <w:sz w:val="32"/>
          <w:szCs w:val="32"/>
          <w:lang w:val="en-US" w:eastAsia="zh-CN"/>
        </w:rPr>
        <w:t>0.01</w:t>
      </w:r>
      <w:r>
        <w:rPr>
          <w:rFonts w:hint="default"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w:t>
      </w:r>
    </w:p>
    <w:p w14:paraId="49966564">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center"/>
        <w:textAlignment w:val="auto"/>
        <w:outlineLvl w:val="9"/>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color w:val="auto"/>
          <w:sz w:val="32"/>
          <w:szCs w:val="32"/>
          <w:highlight w:val="none"/>
          <w:lang w:eastAsia="zh-CN"/>
        </w:rPr>
        <w:t>（图2：收入决算结构图）（饼状图）</w:t>
      </w:r>
    </w:p>
    <w:p w14:paraId="328DD392">
      <w:pPr>
        <w:ind w:firstLine="825" w:firstLineChars="250"/>
        <w:jc w:val="center"/>
        <w:rPr>
          <w:rFonts w:hint="eastAsia" w:ascii="Times New Roman" w:hAnsi="Times New Roman" w:eastAsia="仿宋_GB2312" w:cs="仿宋_GB2312"/>
          <w:color w:val="auto"/>
          <w:sz w:val="32"/>
          <w:szCs w:val="32"/>
          <w:highlight w:val="none"/>
          <w:lang w:eastAsia="zh-CN"/>
        </w:rPr>
      </w:pPr>
      <w:r>
        <w:rPr>
          <w:rFonts w:hint="eastAsia" w:ascii="方正仿宋_GB2312" w:eastAsia="方正仿宋_GB2312"/>
          <w:sz w:val="33"/>
          <w:szCs w:val="33"/>
        </w:rPr>
        <w:drawing>
          <wp:inline distT="0" distB="0" distL="114300" distR="114300">
            <wp:extent cx="4342130" cy="2305685"/>
            <wp:effectExtent l="0" t="0" r="1270" b="31115"/>
            <wp:docPr id="4" name="图表 4" descr="7b0a202020202263686172745265734964223a202232303437313134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CF9ED95">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1"/>
          <w:rFonts w:hint="eastAsia" w:ascii="Times New Roman" w:hAnsi="Times New Roman" w:eastAsia="黑体"/>
          <w:b w:val="0"/>
          <w:color w:val="auto"/>
          <w:highlight w:val="none"/>
        </w:rPr>
      </w:pPr>
      <w:bookmarkStart w:id="38" w:name="_Toc9071"/>
      <w:bookmarkStart w:id="39" w:name="_Toc15377207"/>
      <w:bookmarkStart w:id="40" w:name="_Toc15396605"/>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1"/>
          <w:rFonts w:hint="eastAsia" w:ascii="Times New Roman" w:hAnsi="Times New Roman" w:eastAsia="黑体"/>
          <w:b w:val="0"/>
          <w:color w:val="auto"/>
          <w:highlight w:val="none"/>
        </w:rPr>
        <w:t>出决算情况说明</w:t>
      </w:r>
      <w:bookmarkEnd w:id="38"/>
      <w:bookmarkEnd w:id="39"/>
      <w:bookmarkEnd w:id="40"/>
    </w:p>
    <w:p w14:paraId="7F77501C">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3" w:firstLineChars="200"/>
        <w:textAlignment w:val="auto"/>
        <w:outlineLvl w:val="9"/>
        <w:rPr>
          <w:rFonts w:hint="default" w:ascii="Times New Roman" w:hAnsi="Times New Roman" w:eastAsia="方正仿宋_GBK" w:cs="Times New Roman"/>
          <w:color w:val="auto"/>
          <w:sz w:val="32"/>
          <w:szCs w:val="32"/>
          <w:highlight w:val="none"/>
          <w:lang w:eastAsia="zh-CN"/>
        </w:rPr>
      </w:pPr>
      <w:r>
        <w:rPr>
          <w:rFonts w:hint="default" w:ascii="Times New Roman" w:hAnsi="Times New Roman" w:eastAsia="方正仿宋_GBK" w:cs="Times New Roman"/>
          <w:b/>
          <w:bCs/>
          <w:color w:val="auto"/>
          <w:sz w:val="32"/>
          <w:szCs w:val="32"/>
          <w:highlight w:val="none"/>
          <w:lang w:eastAsia="zh-CN"/>
        </w:rPr>
        <w:t>2025</w:t>
      </w:r>
      <w:r>
        <w:rPr>
          <w:rFonts w:hint="default" w:ascii="Times New Roman" w:hAnsi="Times New Roman" w:eastAsia="方正仿宋_GBK" w:cs="Times New Roman"/>
          <w:color w:val="auto"/>
          <w:sz w:val="32"/>
          <w:szCs w:val="32"/>
          <w:highlight w:val="none"/>
          <w:lang w:eastAsia="zh-CN"/>
        </w:rPr>
        <w:t>年度本年支出合计</w:t>
      </w:r>
      <w:r>
        <w:rPr>
          <w:rFonts w:hint="default" w:ascii="Times New Roman" w:hAnsi="Times New Roman" w:eastAsia="方正仿宋_GBK" w:cs="Times New Roman"/>
          <w:b/>
          <w:bCs/>
          <w:sz w:val="32"/>
          <w:szCs w:val="32"/>
        </w:rPr>
        <w:t>4752.66</w:t>
      </w:r>
      <w:r>
        <w:rPr>
          <w:rFonts w:hint="default" w:ascii="Times New Roman" w:hAnsi="Times New Roman" w:eastAsia="方正仿宋_GBK" w:cs="Times New Roman"/>
          <w:color w:val="auto"/>
          <w:sz w:val="32"/>
          <w:szCs w:val="32"/>
          <w:highlight w:val="none"/>
          <w:lang w:eastAsia="zh-CN"/>
        </w:rPr>
        <w:t>万元，其中：基本支出</w:t>
      </w:r>
      <w:r>
        <w:rPr>
          <w:rFonts w:hint="default" w:ascii="Times New Roman" w:hAnsi="Times New Roman" w:eastAsia="方正仿宋_GBK" w:cs="Times New Roman"/>
          <w:b/>
          <w:bCs/>
          <w:sz w:val="32"/>
          <w:szCs w:val="32"/>
        </w:rPr>
        <w:t>2771.85</w:t>
      </w:r>
      <w:r>
        <w:rPr>
          <w:rFonts w:hint="default" w:ascii="Times New Roman" w:hAnsi="Times New Roman" w:eastAsia="方正仿宋_GBK" w:cs="Times New Roman"/>
          <w:color w:val="auto"/>
          <w:sz w:val="32"/>
          <w:szCs w:val="32"/>
          <w:highlight w:val="none"/>
          <w:lang w:eastAsia="zh-CN"/>
        </w:rPr>
        <w:t>万元，占</w:t>
      </w:r>
      <w:r>
        <w:rPr>
          <w:rFonts w:hint="default" w:ascii="Times New Roman" w:hAnsi="Times New Roman" w:eastAsia="方正仿宋_GBK" w:cs="Times New Roman"/>
          <w:b/>
          <w:bCs/>
          <w:sz w:val="32"/>
          <w:szCs w:val="32"/>
        </w:rPr>
        <w:t>58.32</w:t>
      </w:r>
      <w:r>
        <w:rPr>
          <w:rFonts w:hint="default"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；项目支出</w:t>
      </w:r>
      <w:r>
        <w:rPr>
          <w:rFonts w:hint="default" w:ascii="Times New Roman" w:hAnsi="Times New Roman" w:eastAsia="方正仿宋_GBK" w:cs="Times New Roman"/>
          <w:b/>
          <w:bCs/>
          <w:sz w:val="32"/>
          <w:szCs w:val="32"/>
        </w:rPr>
        <w:t>1980.81</w:t>
      </w:r>
      <w:r>
        <w:rPr>
          <w:rFonts w:hint="default" w:ascii="Times New Roman" w:hAnsi="Times New Roman" w:eastAsia="方正仿宋_GBK" w:cs="Times New Roman"/>
          <w:color w:val="auto"/>
          <w:sz w:val="32"/>
          <w:szCs w:val="32"/>
          <w:highlight w:val="none"/>
          <w:lang w:eastAsia="zh-CN"/>
        </w:rPr>
        <w:t>万元，占</w:t>
      </w:r>
      <w:r>
        <w:rPr>
          <w:rFonts w:hint="default" w:ascii="Times New Roman" w:hAnsi="Times New Roman" w:eastAsia="方正仿宋_GBK" w:cs="Times New Roman"/>
          <w:b/>
          <w:bCs/>
          <w:sz w:val="32"/>
          <w:szCs w:val="32"/>
        </w:rPr>
        <w:t>41.6</w:t>
      </w:r>
      <w:r>
        <w:rPr>
          <w:rFonts w:hint="eastAsia" w:ascii="Times New Roman" w:hAnsi="Times New Roman" w:eastAsia="方正仿宋_GBK" w:cs="Times New Roman"/>
          <w:b/>
          <w:bCs/>
          <w:sz w:val="32"/>
          <w:szCs w:val="32"/>
          <w:lang w:val="en-US" w:eastAsia="zh-CN"/>
        </w:rPr>
        <w:t>8</w:t>
      </w:r>
      <w:r>
        <w:rPr>
          <w:rFonts w:hint="default"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；上缴上级支出</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color w:val="auto"/>
          <w:sz w:val="32"/>
          <w:szCs w:val="32"/>
          <w:highlight w:val="none"/>
          <w:lang w:eastAsia="zh-CN"/>
        </w:rPr>
        <w:t>万元，占</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；经营支出</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color w:val="auto"/>
          <w:sz w:val="32"/>
          <w:szCs w:val="32"/>
          <w:highlight w:val="none"/>
          <w:lang w:eastAsia="zh-CN"/>
        </w:rPr>
        <w:t>万元，占</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；对附属单位补助支出</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color w:val="auto"/>
          <w:sz w:val="32"/>
          <w:szCs w:val="32"/>
          <w:highlight w:val="none"/>
          <w:lang w:eastAsia="zh-CN"/>
        </w:rPr>
        <w:t>万元，占</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b/>
          <w:bCs/>
          <w:color w:val="auto"/>
          <w:sz w:val="32"/>
          <w:szCs w:val="32"/>
          <w:highlight w:val="none"/>
          <w:lang w:eastAsia="zh-CN"/>
        </w:rPr>
        <w:t>%</w:t>
      </w:r>
      <w:r>
        <w:rPr>
          <w:rFonts w:hint="default" w:ascii="Times New Roman" w:hAnsi="Times New Roman" w:eastAsia="方正仿宋_GBK" w:cs="Times New Roman"/>
          <w:color w:val="auto"/>
          <w:sz w:val="32"/>
          <w:szCs w:val="32"/>
          <w:highlight w:val="none"/>
          <w:lang w:eastAsia="zh-CN"/>
        </w:rPr>
        <w:t>。</w:t>
      </w:r>
    </w:p>
    <w:p w14:paraId="7D8E5171">
      <w:pPr>
        <w:pStyle w:val="29"/>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center"/>
        <w:textAlignment w:val="auto"/>
        <w:outlineLvl w:val="9"/>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（图3：支出决算结构图）（饼状图）</w:t>
      </w:r>
    </w:p>
    <w:p w14:paraId="28B531A5">
      <w:pPr>
        <w:ind w:firstLine="825" w:firstLineChars="250"/>
        <w:jc w:val="center"/>
        <w:rPr>
          <w:rFonts w:hint="eastAsia" w:ascii="Times New Roman" w:hAnsi="Times New Roman" w:eastAsia="仿宋_GB2312" w:cs="仿宋_GB2312"/>
          <w:color w:val="auto"/>
          <w:sz w:val="32"/>
          <w:szCs w:val="32"/>
          <w:highlight w:val="none"/>
          <w:lang w:eastAsia="zh-CN"/>
        </w:rPr>
      </w:pPr>
      <w:r>
        <w:rPr>
          <w:rFonts w:hint="eastAsia" w:ascii="方正仿宋_GB2312" w:eastAsia="方正仿宋_GB2312"/>
          <w:sz w:val="33"/>
          <w:szCs w:val="33"/>
        </w:rPr>
        <w:drawing>
          <wp:inline distT="0" distB="0" distL="114300" distR="114300">
            <wp:extent cx="4342130" cy="2305685"/>
            <wp:effectExtent l="0" t="0" r="1270" b="31115"/>
            <wp:docPr id="5" name="图表 5" descr="7b0a202020202263686172745265734964223a202232303437313134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0448699">
      <w:pPr>
        <w:spacing w:line="600" w:lineRule="exact"/>
        <w:ind w:firstLine="640" w:firstLineChars="200"/>
        <w:outlineLvl w:val="1"/>
        <w:rPr>
          <w:rStyle w:val="31"/>
          <w:rFonts w:ascii="Times New Roman" w:hAnsi="Times New Roman" w:eastAsia="黑体"/>
          <w:b w:val="0"/>
          <w:color w:val="auto"/>
          <w:highlight w:val="none"/>
        </w:rPr>
      </w:pPr>
      <w:bookmarkStart w:id="41" w:name="_Toc22752"/>
      <w:bookmarkStart w:id="42" w:name="_Toc15396606"/>
      <w:bookmarkStart w:id="43" w:name="_Toc15377208"/>
      <w:r>
        <w:rPr>
          <w:rFonts w:hint="eastAsia" w:ascii="Times New Roman" w:hAnsi="Times New Roman" w:eastAsia="黑体"/>
          <w:color w:val="auto"/>
          <w:sz w:val="32"/>
          <w:szCs w:val="32"/>
          <w:highlight w:val="none"/>
        </w:rPr>
        <w:t>四、财</w:t>
      </w:r>
      <w:r>
        <w:rPr>
          <w:rStyle w:val="31"/>
          <w:rFonts w:hint="eastAsia" w:ascii="Times New Roman" w:hAnsi="Times New Roman" w:eastAsia="黑体"/>
          <w:b w:val="0"/>
          <w:color w:val="auto"/>
          <w:highlight w:val="none"/>
        </w:rPr>
        <w:t>政拨款收入支出决算总体情况说明</w:t>
      </w:r>
      <w:bookmarkEnd w:id="41"/>
      <w:bookmarkEnd w:id="42"/>
      <w:bookmarkEnd w:id="43"/>
    </w:p>
    <w:p w14:paraId="5AE2FD61">
      <w:pPr>
        <w:spacing w:line="600" w:lineRule="exact"/>
        <w:ind w:firstLine="640"/>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b/>
          <w:bCs/>
          <w:color w:val="auto"/>
          <w:kern w:val="2"/>
          <w:sz w:val="32"/>
          <w:szCs w:val="32"/>
          <w:highlight w:val="none"/>
          <w:lang w:val="en-US" w:eastAsia="zh-CN" w:bidi="ar-SA"/>
        </w:rPr>
        <w:t>2025</w:t>
      </w:r>
      <w:r>
        <w:rPr>
          <w:rFonts w:hint="default" w:ascii="Times New Roman" w:hAnsi="Times New Roman" w:eastAsia="方正仿宋_GBK" w:cs="Times New Roman"/>
          <w:color w:val="auto"/>
          <w:kern w:val="2"/>
          <w:sz w:val="32"/>
          <w:szCs w:val="32"/>
          <w:highlight w:val="none"/>
          <w:lang w:val="en-US" w:eastAsia="zh-CN" w:bidi="ar-SA"/>
        </w:rPr>
        <w:t>年度财政拨款收入、支出总计均为</w:t>
      </w:r>
      <w:r>
        <w:rPr>
          <w:rFonts w:hint="default" w:ascii="Times New Roman" w:hAnsi="Times New Roman" w:eastAsia="方正仿宋_GBK" w:cs="Times New Roman"/>
          <w:b/>
          <w:bCs/>
          <w:sz w:val="32"/>
          <w:szCs w:val="32"/>
        </w:rPr>
        <w:t>4752.48</w:t>
      </w:r>
      <w:r>
        <w:rPr>
          <w:rFonts w:hint="default" w:ascii="Times New Roman" w:hAnsi="Times New Roman" w:eastAsia="方正仿宋_GBK" w:cs="Times New Roman"/>
          <w:color w:val="auto"/>
          <w:kern w:val="2"/>
          <w:sz w:val="32"/>
          <w:szCs w:val="32"/>
          <w:highlight w:val="none"/>
          <w:lang w:val="en-US" w:eastAsia="zh-CN" w:bidi="ar-SA"/>
        </w:rPr>
        <w:t>万元。与上年度相比，财政拨款收入、支出总计各增加</w:t>
      </w:r>
      <w:r>
        <w:rPr>
          <w:rFonts w:hint="default" w:ascii="Times New Roman" w:hAnsi="Times New Roman" w:eastAsia="方正仿宋_GBK" w:cs="Times New Roman"/>
          <w:b/>
          <w:bCs/>
          <w:color w:val="auto"/>
          <w:kern w:val="2"/>
          <w:sz w:val="32"/>
          <w:szCs w:val="32"/>
          <w:highlight w:val="none"/>
          <w:lang w:val="en-US" w:eastAsia="zh-CN" w:bidi="ar-SA"/>
        </w:rPr>
        <w:t>354.24</w:t>
      </w:r>
      <w:r>
        <w:rPr>
          <w:rFonts w:hint="default" w:ascii="Times New Roman" w:hAnsi="Times New Roman" w:eastAsia="方正仿宋_GBK" w:cs="Times New Roman"/>
          <w:color w:val="auto"/>
          <w:kern w:val="2"/>
          <w:sz w:val="32"/>
          <w:szCs w:val="32"/>
          <w:highlight w:val="none"/>
          <w:lang w:val="en-US" w:eastAsia="zh-CN" w:bidi="ar-SA"/>
        </w:rPr>
        <w:t>万元，增长</w:t>
      </w:r>
      <w:r>
        <w:rPr>
          <w:rFonts w:hint="default" w:ascii="Times New Roman" w:hAnsi="Times New Roman" w:eastAsia="方正仿宋_GBK" w:cs="Times New Roman"/>
          <w:b/>
          <w:bCs/>
          <w:color w:val="auto"/>
          <w:kern w:val="2"/>
          <w:sz w:val="32"/>
          <w:szCs w:val="32"/>
          <w:highlight w:val="none"/>
          <w:lang w:val="en-US" w:eastAsia="zh-CN" w:bidi="ar-SA"/>
        </w:rPr>
        <w:t>8.05%</w:t>
      </w:r>
      <w:r>
        <w:rPr>
          <w:rFonts w:hint="default" w:ascii="Times New Roman" w:hAnsi="Times New Roman" w:eastAsia="方正仿宋_GBK" w:cs="Times New Roman"/>
          <w:color w:val="auto"/>
          <w:kern w:val="2"/>
          <w:sz w:val="32"/>
          <w:szCs w:val="32"/>
          <w:highlight w:val="none"/>
          <w:lang w:val="en-US" w:eastAsia="zh-CN" w:bidi="ar-SA"/>
        </w:rPr>
        <w:t>。主要变动原因是项目经费和人员经费支出增加。</w:t>
      </w:r>
    </w:p>
    <w:p w14:paraId="710F6740">
      <w:pPr>
        <w:spacing w:line="600" w:lineRule="exact"/>
        <w:ind w:firstLine="640" w:firstLineChars="200"/>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（图4：财政拨款收、支决算总计变动情况）（柱状图）</w:t>
      </w:r>
    </w:p>
    <w:p w14:paraId="2EBD3AF0">
      <w:pPr>
        <w:spacing w:line="240" w:lineRule="auto"/>
        <w:ind w:firstLine="640"/>
        <w:jc w:val="center"/>
        <w:rPr>
          <w:rFonts w:hint="eastAsia" w:ascii="Times New Roman" w:hAnsi="Times New Roman" w:eastAsia="仿宋_GB2312" w:cs="仿宋_GB2312"/>
          <w:color w:val="auto"/>
          <w:kern w:val="2"/>
          <w:sz w:val="32"/>
          <w:szCs w:val="32"/>
          <w:highlight w:val="none"/>
          <w:lang w:val="en-US" w:eastAsia="zh-CN" w:bidi="ar-SA"/>
        </w:rPr>
      </w:pPr>
      <w:r>
        <w:rPr>
          <w:rFonts w:hint="eastAsia" w:ascii="方正仿宋_GB2312" w:eastAsia="方正仿宋_GB2312"/>
          <w:sz w:val="33"/>
          <w:szCs w:val="33"/>
        </w:rPr>
        <w:drawing>
          <wp:inline distT="0" distB="0" distL="114300" distR="114300">
            <wp:extent cx="4060190" cy="2086610"/>
            <wp:effectExtent l="5080" t="4445" r="11430" b="17145"/>
            <wp:docPr id="1" name="图表 1" descr="7b0a202020202263686172745265734964223a202234363631323739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B44D314">
      <w:pPr>
        <w:spacing w:line="600" w:lineRule="exact"/>
        <w:ind w:firstLine="640" w:firstLineChars="200"/>
        <w:outlineLvl w:val="1"/>
        <w:rPr>
          <w:rStyle w:val="31"/>
          <w:rFonts w:ascii="Times New Roman" w:hAnsi="Times New Roman" w:eastAsia="黑体"/>
          <w:b w:val="0"/>
          <w:color w:val="auto"/>
          <w:highlight w:val="none"/>
        </w:rPr>
      </w:pPr>
      <w:bookmarkStart w:id="44" w:name="_Toc9957"/>
      <w:bookmarkStart w:id="45" w:name="_Toc15377209"/>
      <w:bookmarkStart w:id="46" w:name="_Toc15396607"/>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1"/>
          <w:rFonts w:hint="eastAsia" w:ascii="Times New Roman" w:hAnsi="Times New Roman" w:eastAsia="黑体"/>
          <w:b w:val="0"/>
          <w:color w:val="auto"/>
          <w:highlight w:val="none"/>
        </w:rPr>
        <w:t>般公共预算财政拨款支出决算情况说明</w:t>
      </w:r>
      <w:bookmarkEnd w:id="44"/>
      <w:bookmarkEnd w:id="45"/>
      <w:bookmarkEnd w:id="46"/>
    </w:p>
    <w:p w14:paraId="5900C67E">
      <w:pPr>
        <w:spacing w:line="600" w:lineRule="exact"/>
        <w:ind w:firstLine="643" w:firstLineChars="200"/>
        <w:outlineLvl w:val="9"/>
        <w:rPr>
          <w:rFonts w:hint="eastAsia" w:ascii="方正楷体_GBK" w:hAnsi="方正楷体_GBK" w:eastAsia="方正楷体_GBK" w:cs="方正楷体_GBK"/>
          <w:b/>
          <w:color w:val="auto"/>
          <w:sz w:val="32"/>
          <w:szCs w:val="32"/>
          <w:highlight w:val="none"/>
        </w:rPr>
      </w:pPr>
      <w:bookmarkStart w:id="47" w:name="_Toc15377210"/>
      <w:r>
        <w:rPr>
          <w:rFonts w:hint="eastAsia" w:ascii="方正楷体_GBK" w:hAnsi="方正楷体_GBK" w:eastAsia="方正楷体_GBK" w:cs="方正楷体_GBK"/>
          <w:b/>
          <w:color w:val="auto"/>
          <w:sz w:val="32"/>
          <w:szCs w:val="32"/>
          <w:highlight w:val="none"/>
        </w:rPr>
        <w:t>（一）一般公共预算财政拨款支出决算总体情况</w:t>
      </w:r>
      <w:bookmarkEnd w:id="47"/>
    </w:p>
    <w:p w14:paraId="33823F4A">
      <w:pPr>
        <w:spacing w:line="600" w:lineRule="exact"/>
        <w:ind w:firstLine="640"/>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b/>
          <w:bCs/>
          <w:color w:val="auto"/>
          <w:kern w:val="2"/>
          <w:sz w:val="32"/>
          <w:szCs w:val="32"/>
          <w:highlight w:val="none"/>
          <w:lang w:val="en-US" w:eastAsia="zh-CN" w:bidi="ar-SA"/>
        </w:rPr>
        <w:t>2025</w:t>
      </w:r>
      <w:r>
        <w:rPr>
          <w:rFonts w:hint="default" w:ascii="Times New Roman" w:hAnsi="Times New Roman" w:eastAsia="方正仿宋_GBK" w:cs="Times New Roman"/>
          <w:color w:val="auto"/>
          <w:kern w:val="2"/>
          <w:sz w:val="32"/>
          <w:szCs w:val="32"/>
          <w:highlight w:val="none"/>
          <w:lang w:val="en-US" w:eastAsia="zh-CN" w:bidi="ar-SA"/>
        </w:rPr>
        <w:t>年度一般公共预算财政拨款支出</w:t>
      </w:r>
      <w:r>
        <w:rPr>
          <w:rFonts w:hint="default" w:ascii="Times New Roman" w:hAnsi="Times New Roman" w:eastAsia="方正仿宋_GBK" w:cs="Times New Roman"/>
          <w:b/>
          <w:bCs/>
          <w:sz w:val="32"/>
          <w:szCs w:val="32"/>
        </w:rPr>
        <w:t>4752.48</w:t>
      </w:r>
      <w:r>
        <w:rPr>
          <w:rFonts w:hint="default" w:ascii="Times New Roman" w:hAnsi="Times New Roman" w:eastAsia="方正仿宋_GBK" w:cs="Times New Roman"/>
          <w:color w:val="auto"/>
          <w:kern w:val="2"/>
          <w:sz w:val="32"/>
          <w:szCs w:val="32"/>
          <w:highlight w:val="none"/>
          <w:lang w:val="en-US" w:eastAsia="zh-CN" w:bidi="ar-SA"/>
        </w:rPr>
        <w:t>万元，占本年支出合计的</w:t>
      </w:r>
      <w:r>
        <w:rPr>
          <w:rFonts w:hint="default" w:ascii="Times New Roman" w:hAnsi="Times New Roman" w:eastAsia="方正仿宋_GBK" w:cs="Times New Roman"/>
          <w:b/>
          <w:bCs/>
          <w:sz w:val="32"/>
          <w:szCs w:val="32"/>
        </w:rPr>
        <w:t>99.99</w:t>
      </w:r>
      <w:r>
        <w:rPr>
          <w:rFonts w:hint="default" w:ascii="Times New Roman" w:hAnsi="Times New Roman" w:eastAsia="方正仿宋_GBK" w:cs="Times New Roman"/>
          <w:b/>
          <w:bCs/>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。与上年度相比，一般公共预算财政拨款支出增加</w:t>
      </w:r>
      <w:r>
        <w:rPr>
          <w:rFonts w:hint="default" w:ascii="Times New Roman" w:hAnsi="Times New Roman" w:eastAsia="方正仿宋_GBK" w:cs="Times New Roman"/>
          <w:b/>
          <w:bCs/>
          <w:color w:val="auto"/>
          <w:kern w:val="2"/>
          <w:sz w:val="32"/>
          <w:szCs w:val="32"/>
          <w:highlight w:val="none"/>
          <w:lang w:val="en-US" w:eastAsia="zh-CN" w:bidi="ar-SA"/>
        </w:rPr>
        <w:t>354.24</w:t>
      </w:r>
      <w:r>
        <w:rPr>
          <w:rFonts w:hint="default" w:ascii="Times New Roman" w:hAnsi="Times New Roman" w:eastAsia="方正仿宋_GBK" w:cs="Times New Roman"/>
          <w:color w:val="auto"/>
          <w:kern w:val="2"/>
          <w:sz w:val="32"/>
          <w:szCs w:val="32"/>
          <w:highlight w:val="none"/>
          <w:lang w:val="en-US" w:eastAsia="zh-CN" w:bidi="ar-SA"/>
        </w:rPr>
        <w:t>万元，增长</w:t>
      </w:r>
      <w:r>
        <w:rPr>
          <w:rFonts w:hint="default" w:ascii="Times New Roman" w:hAnsi="Times New Roman" w:eastAsia="方正仿宋_GBK" w:cs="Times New Roman"/>
          <w:b/>
          <w:bCs/>
          <w:color w:val="auto"/>
          <w:kern w:val="2"/>
          <w:sz w:val="32"/>
          <w:szCs w:val="32"/>
          <w:highlight w:val="none"/>
          <w:lang w:val="en-US" w:eastAsia="zh-CN" w:bidi="ar-SA"/>
        </w:rPr>
        <w:t>8.05%</w:t>
      </w:r>
      <w:r>
        <w:rPr>
          <w:rFonts w:hint="default" w:ascii="Times New Roman" w:hAnsi="Times New Roman" w:eastAsia="方正仿宋_GBK" w:cs="Times New Roman"/>
          <w:color w:val="auto"/>
          <w:kern w:val="2"/>
          <w:sz w:val="32"/>
          <w:szCs w:val="32"/>
          <w:highlight w:val="none"/>
          <w:lang w:val="en-US" w:eastAsia="zh-CN" w:bidi="ar-SA"/>
        </w:rPr>
        <w:t>。主要变动原因是项目经费和人员经费支出增加。</w:t>
      </w:r>
    </w:p>
    <w:p w14:paraId="45A9E8E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（图5：一般公共预算财政拨款支出决算变动情况）（柱状图）</w:t>
      </w:r>
    </w:p>
    <w:p w14:paraId="18764A73">
      <w:pPr>
        <w:spacing w:line="240" w:lineRule="auto"/>
        <w:ind w:firstLine="640"/>
        <w:jc w:val="center"/>
        <w:rPr>
          <w:rFonts w:hint="eastAsia" w:ascii="Times New Roman" w:hAnsi="Times New Roman" w:eastAsia="仿宋_GB2312" w:cs="仿宋_GB2312"/>
          <w:color w:val="auto"/>
          <w:kern w:val="2"/>
          <w:sz w:val="32"/>
          <w:szCs w:val="32"/>
          <w:highlight w:val="none"/>
          <w:lang w:val="en-US" w:eastAsia="zh-CN" w:bidi="ar-SA"/>
        </w:rPr>
      </w:pPr>
      <w:r>
        <w:rPr>
          <w:rFonts w:hint="eastAsia" w:ascii="方正仿宋_GB2312" w:eastAsia="方正仿宋_GB2312"/>
          <w:sz w:val="33"/>
          <w:szCs w:val="33"/>
        </w:rPr>
        <w:drawing>
          <wp:inline distT="0" distB="0" distL="114300" distR="114300">
            <wp:extent cx="4131310" cy="2173605"/>
            <wp:effectExtent l="4445" t="4445" r="17145" b="6350"/>
            <wp:docPr id="7" name="图表 7" descr="7b0a202020202263686172745265734964223a202234363631323739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1081D02">
      <w:pPr>
        <w:spacing w:line="600" w:lineRule="exact"/>
        <w:ind w:firstLine="643" w:firstLineChars="200"/>
        <w:outlineLvl w:val="9"/>
        <w:rPr>
          <w:rFonts w:hint="eastAsia" w:ascii="方正楷体_GBK" w:hAnsi="方正楷体_GBK" w:eastAsia="方正楷体_GBK" w:cs="方正楷体_GBK"/>
          <w:b/>
          <w:color w:val="auto"/>
          <w:sz w:val="32"/>
          <w:szCs w:val="32"/>
          <w:highlight w:val="none"/>
        </w:rPr>
      </w:pPr>
      <w:bookmarkStart w:id="48" w:name="_Toc15377211"/>
      <w:r>
        <w:rPr>
          <w:rFonts w:hint="eastAsia" w:ascii="方正楷体_GBK" w:hAnsi="方正楷体_GBK" w:eastAsia="方正楷体_GBK" w:cs="方正楷体_GBK"/>
          <w:b/>
          <w:color w:val="auto"/>
          <w:sz w:val="32"/>
          <w:szCs w:val="32"/>
          <w:highlight w:val="none"/>
        </w:rPr>
        <w:t>（二）一般公共预算财政拨款支出决算结构情况</w:t>
      </w:r>
      <w:bookmarkEnd w:id="48"/>
    </w:p>
    <w:p w14:paraId="60F74901">
      <w:pPr>
        <w:spacing w:line="600" w:lineRule="exact"/>
        <w:ind w:firstLine="640"/>
        <w:rPr>
          <w:rFonts w:hint="default" w:ascii="Times New Roman" w:hAnsi="Times New Roman" w:eastAsia="方正仿宋_GBK" w:cs="Times New Roman"/>
          <w:b/>
          <w:bCs/>
          <w:color w:val="auto"/>
          <w:kern w:val="2"/>
          <w:sz w:val="32"/>
          <w:szCs w:val="32"/>
          <w:highlight w:val="none"/>
          <w:lang w:val="en-US" w:eastAsia="zh-CN" w:bidi="ar-SA"/>
        </w:rPr>
      </w:pPr>
      <w:r>
        <w:rPr>
          <w:rFonts w:hint="default" w:ascii="Times New Roman" w:hAnsi="Times New Roman" w:eastAsia="方正仿宋_GBK" w:cs="Times New Roman"/>
          <w:b/>
          <w:bCs/>
          <w:color w:val="auto"/>
          <w:kern w:val="2"/>
          <w:sz w:val="32"/>
          <w:szCs w:val="32"/>
          <w:highlight w:val="none"/>
          <w:lang w:val="en-US" w:eastAsia="zh-CN" w:bidi="ar-SA"/>
        </w:rPr>
        <w:t>2025</w:t>
      </w:r>
      <w:r>
        <w:rPr>
          <w:rFonts w:hint="default" w:ascii="Times New Roman" w:hAnsi="Times New Roman" w:eastAsia="方正仿宋_GBK" w:cs="Times New Roman"/>
          <w:color w:val="auto"/>
          <w:kern w:val="2"/>
          <w:sz w:val="32"/>
          <w:szCs w:val="32"/>
          <w:highlight w:val="none"/>
          <w:lang w:val="en-US" w:eastAsia="zh-CN" w:bidi="ar-SA"/>
        </w:rPr>
        <w:t>年度一般公共预算财政拨款支出</w:t>
      </w:r>
      <w:r>
        <w:rPr>
          <w:rFonts w:hint="default" w:ascii="Times New Roman" w:hAnsi="Times New Roman" w:eastAsia="方正仿宋_GBK" w:cs="Times New Roman"/>
          <w:b/>
          <w:bCs/>
          <w:sz w:val="32"/>
          <w:szCs w:val="32"/>
        </w:rPr>
        <w:t>4752.48</w:t>
      </w:r>
      <w:r>
        <w:rPr>
          <w:rFonts w:hint="default" w:ascii="Times New Roman" w:hAnsi="Times New Roman" w:eastAsia="方正仿宋_GBK" w:cs="Times New Roman"/>
          <w:color w:val="auto"/>
          <w:kern w:val="2"/>
          <w:sz w:val="32"/>
          <w:szCs w:val="32"/>
          <w:highlight w:val="none"/>
          <w:lang w:val="en-US" w:eastAsia="zh-CN" w:bidi="ar-SA"/>
        </w:rPr>
        <w:t>万元，主要用于以下方面：一般公共服务支出</w:t>
      </w:r>
      <w:r>
        <w:rPr>
          <w:rFonts w:hint="default" w:ascii="Times New Roman" w:hAnsi="Times New Roman" w:eastAsia="方正仿宋_GBK" w:cs="Times New Roman"/>
          <w:b/>
          <w:bCs/>
          <w:color w:val="auto"/>
          <w:kern w:val="2"/>
          <w:sz w:val="32"/>
          <w:szCs w:val="32"/>
          <w:highlight w:val="none"/>
          <w:lang w:val="en-US" w:eastAsia="zh-CN" w:bidi="ar-SA"/>
        </w:rPr>
        <w:t>3937.92</w:t>
      </w:r>
      <w:r>
        <w:rPr>
          <w:rFonts w:hint="default" w:ascii="Times New Roman" w:hAnsi="Times New Roman" w:eastAsia="方正仿宋_GBK" w:cs="Times New Roman"/>
          <w:color w:val="auto"/>
          <w:kern w:val="2"/>
          <w:sz w:val="32"/>
          <w:szCs w:val="32"/>
          <w:highlight w:val="none"/>
          <w:lang w:val="en-US" w:eastAsia="zh-CN" w:bidi="ar-SA"/>
        </w:rPr>
        <w:t>万元，占</w:t>
      </w:r>
      <w:r>
        <w:rPr>
          <w:rFonts w:hint="default" w:ascii="Times New Roman" w:hAnsi="Times New Roman" w:eastAsia="方正仿宋_GBK" w:cs="Times New Roman"/>
          <w:b/>
          <w:bCs/>
          <w:color w:val="auto"/>
          <w:kern w:val="2"/>
          <w:sz w:val="32"/>
          <w:szCs w:val="32"/>
          <w:highlight w:val="none"/>
          <w:lang w:val="en-US" w:eastAsia="zh-CN" w:bidi="ar-SA"/>
        </w:rPr>
        <w:t>82.86%</w:t>
      </w:r>
      <w:r>
        <w:rPr>
          <w:rFonts w:hint="default" w:ascii="Times New Roman" w:hAnsi="Times New Roman" w:eastAsia="方正仿宋_GBK" w:cs="Times New Roman"/>
          <w:color w:val="auto"/>
          <w:kern w:val="2"/>
          <w:sz w:val="32"/>
          <w:szCs w:val="32"/>
          <w:highlight w:val="none"/>
          <w:lang w:val="en-US" w:eastAsia="zh-CN" w:bidi="ar-SA"/>
        </w:rPr>
        <w:t>；教育支出</w:t>
      </w:r>
      <w:r>
        <w:rPr>
          <w:rFonts w:hint="default" w:ascii="Times New Roman" w:hAnsi="Times New Roman" w:eastAsia="方正仿宋_GBK" w:cs="Times New Roman"/>
          <w:b/>
          <w:bCs/>
          <w:color w:val="auto"/>
          <w:kern w:val="2"/>
          <w:sz w:val="32"/>
          <w:szCs w:val="32"/>
          <w:highlight w:val="none"/>
          <w:lang w:val="en-US" w:eastAsia="zh-CN" w:bidi="ar-SA"/>
        </w:rPr>
        <w:t>0</w:t>
      </w:r>
      <w:r>
        <w:rPr>
          <w:rFonts w:hint="default" w:ascii="Times New Roman" w:hAnsi="Times New Roman" w:eastAsia="方正仿宋_GBK" w:cs="Times New Roman"/>
          <w:color w:val="auto"/>
          <w:kern w:val="2"/>
          <w:sz w:val="32"/>
          <w:szCs w:val="32"/>
          <w:highlight w:val="none"/>
          <w:lang w:val="en-US" w:eastAsia="zh-CN" w:bidi="ar-SA"/>
        </w:rPr>
        <w:t>万元，占</w:t>
      </w:r>
      <w:r>
        <w:rPr>
          <w:rFonts w:hint="default" w:ascii="Times New Roman" w:hAnsi="Times New Roman" w:eastAsia="方正仿宋_GBK" w:cs="Times New Roman"/>
          <w:b/>
          <w:bCs/>
          <w:color w:val="auto"/>
          <w:kern w:val="2"/>
          <w:sz w:val="32"/>
          <w:szCs w:val="32"/>
          <w:highlight w:val="none"/>
          <w:lang w:val="en-US" w:eastAsia="zh-CN" w:bidi="ar-SA"/>
        </w:rPr>
        <w:t>0%</w:t>
      </w:r>
      <w:r>
        <w:rPr>
          <w:rFonts w:hint="default" w:ascii="Times New Roman" w:hAnsi="Times New Roman" w:eastAsia="方正仿宋_GBK" w:cs="Times New Roman"/>
          <w:color w:val="auto"/>
          <w:kern w:val="2"/>
          <w:sz w:val="32"/>
          <w:szCs w:val="32"/>
          <w:highlight w:val="none"/>
          <w:lang w:val="en-US" w:eastAsia="zh-CN" w:bidi="ar-SA"/>
        </w:rPr>
        <w:t>；科学技术支出</w:t>
      </w:r>
      <w:r>
        <w:rPr>
          <w:rFonts w:hint="default" w:ascii="Times New Roman" w:hAnsi="Times New Roman" w:eastAsia="方正仿宋_GBK" w:cs="Times New Roman"/>
          <w:b/>
          <w:bCs/>
          <w:color w:val="auto"/>
          <w:kern w:val="2"/>
          <w:sz w:val="32"/>
          <w:szCs w:val="32"/>
          <w:highlight w:val="none"/>
          <w:lang w:val="en-US" w:eastAsia="zh-CN" w:bidi="ar-SA"/>
        </w:rPr>
        <w:t>0</w:t>
      </w:r>
      <w:r>
        <w:rPr>
          <w:rFonts w:hint="default" w:ascii="Times New Roman" w:hAnsi="Times New Roman" w:eastAsia="方正仿宋_GBK" w:cs="Times New Roman"/>
          <w:color w:val="auto"/>
          <w:kern w:val="2"/>
          <w:sz w:val="32"/>
          <w:szCs w:val="32"/>
          <w:highlight w:val="none"/>
          <w:lang w:val="en-US" w:eastAsia="zh-CN" w:bidi="ar-SA"/>
        </w:rPr>
        <w:t>万元，占</w:t>
      </w:r>
      <w:r>
        <w:rPr>
          <w:rFonts w:hint="default" w:ascii="Times New Roman" w:hAnsi="Times New Roman" w:eastAsia="方正仿宋_GBK" w:cs="Times New Roman"/>
          <w:b/>
          <w:bCs/>
          <w:color w:val="auto"/>
          <w:kern w:val="2"/>
          <w:sz w:val="32"/>
          <w:szCs w:val="32"/>
          <w:highlight w:val="none"/>
          <w:lang w:val="en-US" w:eastAsia="zh-CN" w:bidi="ar-SA"/>
        </w:rPr>
        <w:t>0%</w:t>
      </w:r>
      <w:r>
        <w:rPr>
          <w:rFonts w:hint="default" w:ascii="Times New Roman" w:hAnsi="Times New Roman" w:eastAsia="方正仿宋_GBK" w:cs="Times New Roman"/>
          <w:color w:val="auto"/>
          <w:kern w:val="2"/>
          <w:sz w:val="32"/>
          <w:szCs w:val="32"/>
          <w:highlight w:val="none"/>
          <w:lang w:val="en-US" w:eastAsia="zh-CN" w:bidi="ar-SA"/>
        </w:rPr>
        <w:t>；文化旅游体育与传媒支出</w:t>
      </w:r>
      <w:r>
        <w:rPr>
          <w:rFonts w:hint="default" w:ascii="Times New Roman" w:hAnsi="Times New Roman" w:eastAsia="方正仿宋_GBK" w:cs="Times New Roman"/>
          <w:b/>
          <w:bCs/>
          <w:color w:val="auto"/>
          <w:kern w:val="2"/>
          <w:sz w:val="32"/>
          <w:szCs w:val="32"/>
          <w:highlight w:val="none"/>
          <w:lang w:val="en-US" w:eastAsia="zh-CN" w:bidi="ar-SA"/>
        </w:rPr>
        <w:t>0</w:t>
      </w:r>
      <w:r>
        <w:rPr>
          <w:rFonts w:hint="default" w:ascii="Times New Roman" w:hAnsi="Times New Roman" w:eastAsia="方正仿宋_GBK" w:cs="Times New Roman"/>
          <w:color w:val="auto"/>
          <w:kern w:val="2"/>
          <w:sz w:val="32"/>
          <w:szCs w:val="32"/>
          <w:highlight w:val="none"/>
          <w:lang w:val="en-US" w:eastAsia="zh-CN" w:bidi="ar-SA"/>
        </w:rPr>
        <w:t>万元，占</w:t>
      </w:r>
      <w:r>
        <w:rPr>
          <w:rFonts w:hint="default" w:ascii="Times New Roman" w:hAnsi="Times New Roman" w:eastAsia="方正仿宋_GBK" w:cs="Times New Roman"/>
          <w:b/>
          <w:bCs/>
          <w:color w:val="auto"/>
          <w:kern w:val="2"/>
          <w:sz w:val="32"/>
          <w:szCs w:val="32"/>
          <w:highlight w:val="none"/>
          <w:lang w:val="en-US" w:eastAsia="zh-CN" w:bidi="ar-SA"/>
        </w:rPr>
        <w:t>0%</w:t>
      </w:r>
      <w:r>
        <w:rPr>
          <w:rFonts w:hint="default" w:ascii="Times New Roman" w:hAnsi="Times New Roman" w:eastAsia="方正仿宋_GBK" w:cs="Times New Roman"/>
          <w:color w:val="auto"/>
          <w:kern w:val="2"/>
          <w:sz w:val="32"/>
          <w:szCs w:val="32"/>
          <w:highlight w:val="none"/>
          <w:lang w:val="en-US" w:eastAsia="zh-CN" w:bidi="ar-SA"/>
        </w:rPr>
        <w:t>；社会保障和就业支出</w:t>
      </w:r>
      <w:r>
        <w:rPr>
          <w:rFonts w:hint="default" w:ascii="Times New Roman" w:hAnsi="Times New Roman" w:eastAsia="方正仿宋_GBK" w:cs="Times New Roman"/>
          <w:b/>
          <w:bCs/>
          <w:color w:val="auto"/>
          <w:kern w:val="2"/>
          <w:sz w:val="32"/>
          <w:szCs w:val="32"/>
          <w:highlight w:val="none"/>
          <w:lang w:val="en-US" w:eastAsia="zh-CN" w:bidi="ar-SA"/>
        </w:rPr>
        <w:t>475.73</w:t>
      </w:r>
      <w:r>
        <w:rPr>
          <w:rFonts w:hint="default" w:ascii="Times New Roman" w:hAnsi="Times New Roman" w:eastAsia="方正仿宋_GBK" w:cs="Times New Roman"/>
          <w:color w:val="auto"/>
          <w:kern w:val="2"/>
          <w:sz w:val="32"/>
          <w:szCs w:val="32"/>
          <w:highlight w:val="none"/>
          <w:lang w:val="en-US" w:eastAsia="zh-CN" w:bidi="ar-SA"/>
        </w:rPr>
        <w:t>万元，占</w:t>
      </w:r>
      <w:r>
        <w:rPr>
          <w:rFonts w:hint="default" w:ascii="Times New Roman" w:hAnsi="Times New Roman" w:eastAsia="方正仿宋_GBK" w:cs="Times New Roman"/>
          <w:b/>
          <w:bCs/>
          <w:color w:val="auto"/>
          <w:kern w:val="2"/>
          <w:sz w:val="32"/>
          <w:szCs w:val="32"/>
          <w:highlight w:val="none"/>
          <w:lang w:val="en-US" w:eastAsia="zh-CN" w:bidi="ar-SA"/>
        </w:rPr>
        <w:t>10.01%</w:t>
      </w:r>
      <w:r>
        <w:rPr>
          <w:rFonts w:hint="default" w:ascii="Times New Roman" w:hAnsi="Times New Roman" w:eastAsia="方正仿宋_GBK" w:cs="Times New Roman"/>
          <w:color w:val="auto"/>
          <w:kern w:val="2"/>
          <w:sz w:val="32"/>
          <w:szCs w:val="32"/>
          <w:highlight w:val="none"/>
          <w:lang w:val="en-US" w:eastAsia="zh-CN" w:bidi="ar-SA"/>
        </w:rPr>
        <w:t>；卫生健康支出</w:t>
      </w:r>
      <w:r>
        <w:rPr>
          <w:rFonts w:hint="default" w:ascii="Times New Roman" w:hAnsi="Times New Roman" w:eastAsia="方正仿宋_GBK" w:cs="Times New Roman"/>
          <w:b/>
          <w:bCs/>
          <w:color w:val="auto"/>
          <w:kern w:val="2"/>
          <w:sz w:val="32"/>
          <w:szCs w:val="32"/>
          <w:highlight w:val="none"/>
          <w:lang w:val="en-US" w:eastAsia="zh-CN" w:bidi="ar-SA"/>
        </w:rPr>
        <w:t>152.36</w:t>
      </w:r>
      <w:r>
        <w:rPr>
          <w:rFonts w:hint="default" w:ascii="Times New Roman" w:hAnsi="Times New Roman" w:eastAsia="方正仿宋_GBK" w:cs="Times New Roman"/>
          <w:color w:val="auto"/>
          <w:kern w:val="2"/>
          <w:sz w:val="32"/>
          <w:szCs w:val="32"/>
          <w:highlight w:val="none"/>
          <w:lang w:val="en-US" w:eastAsia="zh-CN" w:bidi="ar-SA"/>
        </w:rPr>
        <w:t>万元，占</w:t>
      </w:r>
      <w:r>
        <w:rPr>
          <w:rFonts w:hint="default" w:ascii="Times New Roman" w:hAnsi="Times New Roman" w:eastAsia="方正仿宋_GBK" w:cs="Times New Roman"/>
          <w:b/>
          <w:bCs/>
          <w:color w:val="auto"/>
          <w:kern w:val="2"/>
          <w:sz w:val="32"/>
          <w:szCs w:val="32"/>
          <w:highlight w:val="none"/>
          <w:lang w:val="en-US" w:eastAsia="zh-CN" w:bidi="ar-SA"/>
        </w:rPr>
        <w:t>3.21%</w:t>
      </w:r>
      <w:r>
        <w:rPr>
          <w:rFonts w:hint="default" w:ascii="Times New Roman" w:hAnsi="Times New Roman" w:eastAsia="方正仿宋_GBK" w:cs="Times New Roman"/>
          <w:color w:val="auto"/>
          <w:kern w:val="2"/>
          <w:sz w:val="32"/>
          <w:szCs w:val="32"/>
          <w:highlight w:val="none"/>
          <w:lang w:val="en-US" w:eastAsia="zh-CN" w:bidi="ar-SA"/>
        </w:rPr>
        <w:t>；住房保障支出</w:t>
      </w:r>
      <w:r>
        <w:rPr>
          <w:rFonts w:hint="default" w:ascii="Times New Roman" w:hAnsi="Times New Roman" w:eastAsia="方正仿宋_GBK" w:cs="Times New Roman"/>
          <w:b/>
          <w:bCs/>
          <w:color w:val="auto"/>
          <w:kern w:val="2"/>
          <w:sz w:val="32"/>
          <w:szCs w:val="32"/>
          <w:highlight w:val="none"/>
          <w:lang w:val="en-US" w:eastAsia="zh-CN" w:bidi="ar-SA"/>
        </w:rPr>
        <w:t>186.48</w:t>
      </w:r>
      <w:r>
        <w:rPr>
          <w:rFonts w:hint="default" w:ascii="Times New Roman" w:hAnsi="Times New Roman" w:eastAsia="方正仿宋_GBK" w:cs="Times New Roman"/>
          <w:color w:val="auto"/>
          <w:kern w:val="2"/>
          <w:sz w:val="32"/>
          <w:szCs w:val="32"/>
          <w:highlight w:val="none"/>
          <w:lang w:val="en-US" w:eastAsia="zh-CN" w:bidi="ar-SA"/>
        </w:rPr>
        <w:t>万元，占</w:t>
      </w:r>
      <w:r>
        <w:rPr>
          <w:rFonts w:hint="default" w:ascii="Times New Roman" w:hAnsi="Times New Roman" w:eastAsia="方正仿宋_GBK" w:cs="Times New Roman"/>
          <w:b/>
          <w:bCs/>
          <w:color w:val="auto"/>
          <w:kern w:val="2"/>
          <w:sz w:val="32"/>
          <w:szCs w:val="32"/>
          <w:highlight w:val="none"/>
          <w:lang w:val="en-US" w:eastAsia="zh-CN" w:bidi="ar-SA"/>
        </w:rPr>
        <w:t>3.92%</w:t>
      </w:r>
      <w:r>
        <w:rPr>
          <w:rFonts w:hint="default" w:ascii="Times New Roman" w:hAnsi="Times New Roman" w:eastAsia="方正仿宋_GBK" w:cs="Times New Roman"/>
          <w:color w:val="auto"/>
          <w:kern w:val="2"/>
          <w:sz w:val="32"/>
          <w:szCs w:val="32"/>
          <w:highlight w:val="none"/>
          <w:lang w:val="en-US" w:eastAsia="zh-CN" w:bidi="ar-SA"/>
        </w:rPr>
        <w:t>。</w:t>
      </w:r>
    </w:p>
    <w:p w14:paraId="543C34D3">
      <w:pPr>
        <w:spacing w:line="600" w:lineRule="exact"/>
        <w:ind w:firstLine="640"/>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（图6：一般公共预算财政拨款支出决算结构）（饼状图）</w:t>
      </w:r>
    </w:p>
    <w:p w14:paraId="552F5877">
      <w:pPr>
        <w:spacing w:line="240" w:lineRule="auto"/>
        <w:ind w:firstLine="640"/>
        <w:jc w:val="center"/>
        <w:rPr>
          <w:rFonts w:hint="eastAsia" w:ascii="Times New Roman" w:hAnsi="Times New Roman" w:eastAsia="仿宋_GB2312" w:cs="仿宋_GB2312"/>
          <w:color w:val="auto"/>
          <w:kern w:val="2"/>
          <w:sz w:val="32"/>
          <w:szCs w:val="32"/>
          <w:highlight w:val="none"/>
          <w:lang w:val="en-US" w:eastAsia="zh-CN" w:bidi="ar-SA"/>
        </w:rPr>
      </w:pPr>
      <w:r>
        <w:rPr>
          <w:rFonts w:hint="eastAsia" w:ascii="方正仿宋_GB2312" w:eastAsia="方正仿宋_GB2312"/>
          <w:sz w:val="33"/>
          <w:szCs w:val="33"/>
        </w:rPr>
        <w:drawing>
          <wp:inline distT="0" distB="0" distL="114300" distR="114300">
            <wp:extent cx="4244975" cy="2347595"/>
            <wp:effectExtent l="0" t="0" r="9525" b="40005"/>
            <wp:docPr id="8" name="图表 8" descr="7b0a202020202263686172745265734964223a202232303437313134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8F057F7">
      <w:pPr>
        <w:spacing w:line="600" w:lineRule="exact"/>
        <w:ind w:firstLine="643" w:firstLineChars="200"/>
        <w:outlineLvl w:val="9"/>
        <w:rPr>
          <w:rFonts w:hint="eastAsia" w:ascii="方正楷体_GBK" w:hAnsi="方正楷体_GBK" w:eastAsia="方正楷体_GBK" w:cs="方正楷体_GBK"/>
          <w:b/>
          <w:color w:val="auto"/>
          <w:sz w:val="32"/>
          <w:szCs w:val="32"/>
          <w:highlight w:val="none"/>
        </w:rPr>
      </w:pPr>
      <w:bookmarkStart w:id="49" w:name="_Toc15377212"/>
      <w:r>
        <w:rPr>
          <w:rFonts w:hint="eastAsia" w:ascii="方正楷体_GBK" w:hAnsi="方正楷体_GBK" w:eastAsia="方正楷体_GBK" w:cs="方正楷体_GBK"/>
          <w:b/>
          <w:color w:val="auto"/>
          <w:sz w:val="32"/>
          <w:szCs w:val="32"/>
          <w:highlight w:val="none"/>
        </w:rPr>
        <w:t>（三）一般公共预算财政拨款支出决算具体情况</w:t>
      </w:r>
      <w:bookmarkEnd w:id="49"/>
    </w:p>
    <w:p w14:paraId="137B397E">
      <w:pPr>
        <w:spacing w:line="600" w:lineRule="exact"/>
        <w:ind w:firstLine="640"/>
        <w:rPr>
          <w:rFonts w:hint="default" w:ascii="Times New Roman" w:hAnsi="Times New Roman" w:eastAsia="方正仿宋_GBK" w:cs="Times New Roman"/>
          <w:color w:val="auto"/>
          <w:kern w:val="2"/>
          <w:sz w:val="32"/>
          <w:szCs w:val="32"/>
          <w:highlight w:val="none"/>
          <w:lang w:val="en-US" w:eastAsia="zh-CN" w:bidi="ar-SA"/>
        </w:rPr>
      </w:pPr>
      <w:bookmarkStart w:id="50" w:name="_Toc15377444"/>
      <w:bookmarkStart w:id="51" w:name="_Toc15378460"/>
      <w:bookmarkStart w:id="52" w:name="_Toc15377213"/>
      <w:r>
        <w:rPr>
          <w:rFonts w:hint="default" w:ascii="Times New Roman" w:hAnsi="Times New Roman" w:eastAsia="方正仿宋_GBK" w:cs="Times New Roman"/>
          <w:b/>
          <w:bCs/>
          <w:color w:val="auto"/>
          <w:kern w:val="2"/>
          <w:sz w:val="32"/>
          <w:szCs w:val="32"/>
          <w:highlight w:val="none"/>
          <w:lang w:val="en-US" w:eastAsia="zh-CN" w:bidi="ar-SA"/>
        </w:rPr>
        <w:t>2025</w:t>
      </w:r>
      <w:r>
        <w:rPr>
          <w:rFonts w:hint="default" w:ascii="Times New Roman" w:hAnsi="Times New Roman" w:eastAsia="方正仿宋_GBK" w:cs="Times New Roman"/>
          <w:color w:val="auto"/>
          <w:kern w:val="2"/>
          <w:sz w:val="32"/>
          <w:szCs w:val="32"/>
          <w:highlight w:val="none"/>
          <w:lang w:val="en-US" w:eastAsia="zh-CN" w:bidi="ar-SA"/>
        </w:rPr>
        <w:t>年度一般公共预算支出决算数为</w:t>
      </w:r>
      <w:r>
        <w:rPr>
          <w:rFonts w:hint="default" w:ascii="Times New Roman" w:hAnsi="Times New Roman" w:eastAsia="方正仿宋_GBK" w:cs="Times New Roman"/>
          <w:b/>
          <w:bCs/>
          <w:sz w:val="32"/>
          <w:szCs w:val="32"/>
        </w:rPr>
        <w:t>4752.48</w:t>
      </w:r>
      <w:r>
        <w:rPr>
          <w:rFonts w:hint="default" w:ascii="Times New Roman" w:hAnsi="Times New Roman" w:eastAsia="方正仿宋_GBK" w:cs="Times New Roman"/>
          <w:color w:val="auto"/>
          <w:kern w:val="2"/>
          <w:sz w:val="32"/>
          <w:szCs w:val="32"/>
          <w:highlight w:val="none"/>
          <w:lang w:val="en-US" w:eastAsia="zh-CN" w:bidi="ar-SA"/>
        </w:rPr>
        <w:t>，完成预算</w:t>
      </w:r>
      <w:r>
        <w:rPr>
          <w:rFonts w:hint="default" w:ascii="Times New Roman" w:hAnsi="Times New Roman" w:eastAsia="方正仿宋_GBK" w:cs="Times New Roman"/>
          <w:b/>
          <w:bCs/>
          <w:color w:val="auto"/>
          <w:kern w:val="2"/>
          <w:sz w:val="32"/>
          <w:szCs w:val="32"/>
          <w:highlight w:val="none"/>
          <w:lang w:val="en-US" w:eastAsia="zh-CN" w:bidi="ar-SA"/>
        </w:rPr>
        <w:t>99.99%</w:t>
      </w:r>
      <w:r>
        <w:rPr>
          <w:rFonts w:hint="default" w:ascii="Times New Roman" w:hAnsi="Times New Roman" w:eastAsia="方正仿宋_GBK" w:cs="Times New Roman"/>
          <w:color w:val="auto"/>
          <w:kern w:val="2"/>
          <w:sz w:val="32"/>
          <w:szCs w:val="32"/>
          <w:highlight w:val="none"/>
          <w:lang w:val="en-US" w:eastAsia="zh-CN" w:bidi="ar-SA"/>
        </w:rPr>
        <w:t>。其中：</w:t>
      </w:r>
      <w:bookmarkEnd w:id="50"/>
      <w:bookmarkEnd w:id="51"/>
      <w:bookmarkEnd w:id="52"/>
    </w:p>
    <w:p w14:paraId="4BEBEA6B">
      <w:pPr>
        <w:numPr>
          <w:ilvl w:val="0"/>
          <w:numId w:val="0"/>
        </w:numPr>
        <w:spacing w:line="240" w:lineRule="auto"/>
        <w:ind w:firstLine="643" w:firstLineChars="200"/>
        <w:rPr>
          <w:rFonts w:hint="default" w:ascii="Times New Roman" w:hAnsi="Times New Roman" w:eastAsia="方正仿宋_GBK" w:cs="Times New Roman"/>
          <w:bCs/>
          <w:color w:val="C0504D"/>
          <w:sz w:val="32"/>
          <w:szCs w:val="32"/>
        </w:rPr>
      </w:pPr>
      <w:r>
        <w:rPr>
          <w:rFonts w:hint="default" w:ascii="Times New Roman" w:hAnsi="Times New Roman" w:eastAsia="方正仿宋_GBK" w:cs="Times New Roman"/>
          <w:b/>
          <w:kern w:val="0"/>
          <w:sz w:val="32"/>
          <w:szCs w:val="32"/>
          <w:lang w:val="en-US" w:eastAsia="zh-CN"/>
        </w:rPr>
        <w:t>1</w:t>
      </w:r>
      <w:r>
        <w:rPr>
          <w:rFonts w:hint="default" w:ascii="Times New Roman" w:hAnsi="Times New Roman" w:eastAsia="方正仿宋_GBK" w:cs="Times New Roman"/>
          <w:b/>
          <w:sz w:val="32"/>
          <w:szCs w:val="32"/>
        </w:rPr>
        <w:t>．</w:t>
      </w:r>
      <w:r>
        <w:rPr>
          <w:rFonts w:hint="default" w:ascii="Times New Roman" w:hAnsi="Times New Roman" w:eastAsia="方正仿宋_GBK" w:cs="Times New Roman"/>
          <w:b/>
          <w:color w:val="000000"/>
          <w:sz w:val="32"/>
          <w:szCs w:val="32"/>
        </w:rPr>
        <w:t>一般公共服务（类）纪检监察事务（款）行政运行（项）</w:t>
      </w:r>
      <w:r>
        <w:rPr>
          <w:rFonts w:hint="default" w:ascii="Times New Roman" w:hAnsi="Times New Roman" w:eastAsia="方正仿宋_GBK" w:cs="Times New Roman"/>
          <w:bCs/>
          <w:color w:val="000000"/>
          <w:sz w:val="32"/>
          <w:szCs w:val="32"/>
        </w:rPr>
        <w:t>:支出决算为</w:t>
      </w:r>
      <w:r>
        <w:rPr>
          <w:rFonts w:hint="eastAsia" w:eastAsia="方正仿宋_GBK" w:cs="Times New Roman"/>
          <w:b/>
          <w:bCs w:val="0"/>
          <w:color w:val="000000"/>
          <w:sz w:val="32"/>
          <w:szCs w:val="32"/>
          <w:lang w:val="en-US" w:eastAsia="zh-CN"/>
        </w:rPr>
        <w:t>1737.8</w:t>
      </w:r>
      <w:r>
        <w:rPr>
          <w:rFonts w:hint="default" w:ascii="Times New Roman" w:hAnsi="Times New Roman" w:eastAsia="方正仿宋_GBK" w:cs="Times New Roman"/>
          <w:bCs/>
          <w:color w:val="000000"/>
          <w:sz w:val="32"/>
          <w:szCs w:val="32"/>
        </w:rPr>
        <w:t>万元，</w:t>
      </w:r>
      <w:r>
        <w:rPr>
          <w:rFonts w:hint="default" w:ascii="Times New Roman" w:hAnsi="Times New Roman" w:eastAsia="方正仿宋_GBK" w:cs="Times New Roman"/>
          <w:bCs/>
          <w:sz w:val="32"/>
          <w:szCs w:val="32"/>
        </w:rPr>
        <w:t>完成预算</w:t>
      </w:r>
      <w:r>
        <w:rPr>
          <w:rFonts w:hint="eastAsia" w:eastAsia="方正仿宋_GBK" w:cs="Times New Roman"/>
          <w:b/>
          <w:bCs w:val="0"/>
          <w:sz w:val="32"/>
          <w:szCs w:val="32"/>
          <w:lang w:val="en-US" w:eastAsia="zh-CN"/>
        </w:rPr>
        <w:t>99.99</w:t>
      </w:r>
      <w:r>
        <w:rPr>
          <w:rFonts w:hint="default" w:ascii="Times New Roman" w:hAnsi="Times New Roman" w:eastAsia="方正仿宋_GBK" w:cs="Times New Roman"/>
          <w:b/>
          <w:bCs w:val="0"/>
          <w:sz w:val="32"/>
          <w:szCs w:val="32"/>
        </w:rPr>
        <w:t>%</w:t>
      </w:r>
      <w:r>
        <w:rPr>
          <w:rFonts w:hint="default" w:ascii="Times New Roman" w:hAnsi="Times New Roman" w:eastAsia="方正仿宋_GBK" w:cs="Times New Roman"/>
          <w:bCs/>
          <w:sz w:val="32"/>
          <w:szCs w:val="32"/>
        </w:rPr>
        <w:t>，决算数</w:t>
      </w:r>
      <w:r>
        <w:rPr>
          <w:rFonts w:hint="eastAsia" w:eastAsia="方正仿宋_GBK" w:cs="Times New Roman"/>
          <w:bCs/>
          <w:sz w:val="32"/>
          <w:szCs w:val="32"/>
          <w:lang w:val="en-US" w:eastAsia="zh-CN"/>
        </w:rPr>
        <w:t>小于</w:t>
      </w:r>
      <w:r>
        <w:rPr>
          <w:rFonts w:hint="default" w:ascii="Times New Roman" w:hAnsi="Times New Roman" w:eastAsia="方正仿宋_GBK" w:cs="Times New Roman"/>
          <w:bCs/>
          <w:sz w:val="32"/>
          <w:szCs w:val="32"/>
        </w:rPr>
        <w:t>预算数</w:t>
      </w:r>
      <w:r>
        <w:rPr>
          <w:rFonts w:hint="eastAsia" w:eastAsia="方正仿宋_GBK" w:cs="Times New Roman"/>
          <w:bCs/>
          <w:sz w:val="32"/>
          <w:szCs w:val="32"/>
          <w:lang w:eastAsia="zh-CN"/>
        </w:rPr>
        <w:t>，</w:t>
      </w:r>
      <w:r>
        <w:rPr>
          <w:rFonts w:hint="eastAsia" w:eastAsia="方正仿宋_GBK" w:cs="Times New Roman"/>
          <w:bCs/>
          <w:sz w:val="32"/>
          <w:szCs w:val="32"/>
          <w:lang w:val="en-US" w:eastAsia="zh-CN"/>
        </w:rPr>
        <w:t>因发生了其他收入使本年收入增加</w:t>
      </w:r>
      <w:r>
        <w:rPr>
          <w:rFonts w:hint="default" w:ascii="Times New Roman" w:hAnsi="Times New Roman" w:eastAsia="方正仿宋_GBK" w:cs="Times New Roman"/>
          <w:bCs/>
          <w:sz w:val="32"/>
          <w:szCs w:val="32"/>
        </w:rPr>
        <w:t>。</w:t>
      </w:r>
    </w:p>
    <w:p w14:paraId="70A8E593">
      <w:pPr>
        <w:spacing w:line="240" w:lineRule="auto"/>
        <w:ind w:firstLine="630" w:firstLineChars="196"/>
        <w:rPr>
          <w:rFonts w:hint="default" w:ascii="Times New Roman" w:hAnsi="Times New Roman" w:eastAsia="方正仿宋_GBK" w:cs="Times New Roman"/>
          <w:bCs/>
          <w:sz w:val="32"/>
          <w:szCs w:val="32"/>
        </w:rPr>
      </w:pPr>
      <w:r>
        <w:rPr>
          <w:rFonts w:hint="default" w:ascii="Times New Roman" w:hAnsi="Times New Roman" w:eastAsia="方正仿宋_GBK" w:cs="Times New Roman"/>
          <w:b/>
          <w:kern w:val="0"/>
          <w:sz w:val="32"/>
          <w:szCs w:val="32"/>
        </w:rPr>
        <w:t>2</w:t>
      </w:r>
      <w:r>
        <w:rPr>
          <w:rFonts w:hint="default" w:ascii="Times New Roman" w:hAnsi="Times New Roman" w:eastAsia="方正仿宋_GBK" w:cs="Times New Roman"/>
          <w:b/>
          <w:sz w:val="32"/>
          <w:szCs w:val="32"/>
        </w:rPr>
        <w:t>．一般公共服务（类）纪检监察事务（款）一般行政管理事务（项）</w:t>
      </w:r>
      <w:r>
        <w:rPr>
          <w:rFonts w:hint="default" w:ascii="Times New Roman" w:hAnsi="Times New Roman" w:eastAsia="方正仿宋_GBK" w:cs="Times New Roman"/>
          <w:bCs/>
          <w:sz w:val="32"/>
          <w:szCs w:val="32"/>
        </w:rPr>
        <w:t>:支出决算数为</w:t>
      </w:r>
      <w:r>
        <w:rPr>
          <w:rFonts w:hint="eastAsia" w:eastAsia="方正仿宋_GBK" w:cs="Times New Roman"/>
          <w:b/>
          <w:bCs w:val="0"/>
          <w:sz w:val="32"/>
          <w:szCs w:val="32"/>
          <w:lang w:val="en-US" w:eastAsia="zh-CN"/>
        </w:rPr>
        <w:t>752.25</w:t>
      </w:r>
      <w:r>
        <w:rPr>
          <w:rFonts w:hint="default" w:ascii="Times New Roman" w:hAnsi="Times New Roman" w:eastAsia="方正仿宋_GBK" w:cs="Times New Roman"/>
          <w:bCs/>
          <w:sz w:val="32"/>
          <w:szCs w:val="32"/>
        </w:rPr>
        <w:t>万元，完成预算</w:t>
      </w:r>
      <w:r>
        <w:rPr>
          <w:rFonts w:hint="default" w:ascii="Times New Roman" w:hAnsi="Times New Roman" w:eastAsia="方正仿宋_GBK" w:cs="Times New Roman"/>
          <w:b/>
          <w:bCs w:val="0"/>
          <w:sz w:val="32"/>
          <w:szCs w:val="32"/>
        </w:rPr>
        <w:t>100%</w:t>
      </w:r>
      <w:r>
        <w:rPr>
          <w:rFonts w:hint="default" w:ascii="Times New Roman" w:hAnsi="Times New Roman" w:eastAsia="方正仿宋_GBK" w:cs="Times New Roman"/>
          <w:bCs/>
          <w:sz w:val="32"/>
          <w:szCs w:val="32"/>
        </w:rPr>
        <w:t>，决算数与预算数持平。</w:t>
      </w:r>
    </w:p>
    <w:p w14:paraId="14BDFFF4">
      <w:pPr>
        <w:spacing w:line="240" w:lineRule="auto"/>
        <w:ind w:firstLine="630" w:firstLineChars="196"/>
        <w:rPr>
          <w:rFonts w:hint="default" w:ascii="Times New Roman" w:hAnsi="Times New Roman" w:eastAsia="方正仿宋_GBK" w:cs="Times New Roman"/>
          <w:bCs/>
          <w:sz w:val="32"/>
          <w:szCs w:val="32"/>
        </w:rPr>
      </w:pPr>
      <w:r>
        <w:rPr>
          <w:rFonts w:hint="default" w:ascii="Times New Roman" w:hAnsi="Times New Roman" w:eastAsia="方正仿宋_GBK" w:cs="Times New Roman"/>
          <w:b/>
          <w:kern w:val="0"/>
          <w:sz w:val="32"/>
          <w:szCs w:val="32"/>
        </w:rPr>
        <w:t>3．</w:t>
      </w:r>
      <w:r>
        <w:rPr>
          <w:rFonts w:hint="default" w:ascii="Times New Roman" w:hAnsi="Times New Roman" w:eastAsia="方正仿宋_GBK" w:cs="Times New Roman"/>
          <w:b/>
          <w:sz w:val="32"/>
          <w:szCs w:val="32"/>
        </w:rPr>
        <w:t>一般公共服务（类）纪检监察事务（款）大案要案查处（项）</w:t>
      </w:r>
      <w:r>
        <w:rPr>
          <w:rFonts w:hint="default" w:ascii="Times New Roman" w:hAnsi="Times New Roman" w:eastAsia="方正仿宋_GBK" w:cs="Times New Roman"/>
          <w:bCs/>
          <w:sz w:val="32"/>
          <w:szCs w:val="32"/>
        </w:rPr>
        <w:t>:支出决算数为</w:t>
      </w:r>
      <w:r>
        <w:rPr>
          <w:rFonts w:hint="eastAsia" w:eastAsia="方正仿宋_GBK" w:cs="Times New Roman"/>
          <w:b/>
          <w:bCs w:val="0"/>
          <w:sz w:val="32"/>
          <w:szCs w:val="32"/>
          <w:lang w:val="en-US" w:eastAsia="zh-CN"/>
        </w:rPr>
        <w:t>755.05</w:t>
      </w:r>
      <w:r>
        <w:rPr>
          <w:rFonts w:hint="default" w:ascii="Times New Roman" w:hAnsi="Times New Roman" w:eastAsia="方正仿宋_GBK" w:cs="Times New Roman"/>
          <w:bCs/>
          <w:sz w:val="32"/>
          <w:szCs w:val="32"/>
        </w:rPr>
        <w:t>万元，完成预算</w:t>
      </w:r>
      <w:r>
        <w:rPr>
          <w:rFonts w:hint="default" w:ascii="Times New Roman" w:hAnsi="Times New Roman" w:eastAsia="方正仿宋_GBK" w:cs="Times New Roman"/>
          <w:b/>
          <w:bCs w:val="0"/>
          <w:sz w:val="32"/>
          <w:szCs w:val="32"/>
        </w:rPr>
        <w:t>100%</w:t>
      </w:r>
      <w:r>
        <w:rPr>
          <w:rFonts w:hint="default" w:ascii="Times New Roman" w:hAnsi="Times New Roman" w:eastAsia="方正仿宋_GBK" w:cs="Times New Roman"/>
          <w:bCs/>
          <w:sz w:val="32"/>
          <w:szCs w:val="32"/>
        </w:rPr>
        <w:t>，决算数与预算数持平。</w:t>
      </w:r>
    </w:p>
    <w:p w14:paraId="0FA50F1A">
      <w:pPr>
        <w:spacing w:line="240" w:lineRule="auto"/>
        <w:ind w:firstLine="630" w:firstLineChars="196"/>
        <w:rPr>
          <w:rFonts w:hint="default" w:ascii="Times New Roman" w:hAnsi="Times New Roman" w:eastAsia="方正仿宋_GBK" w:cs="Times New Roman"/>
          <w:bCs/>
          <w:sz w:val="32"/>
          <w:szCs w:val="32"/>
        </w:rPr>
      </w:pPr>
      <w:r>
        <w:rPr>
          <w:rFonts w:hint="default" w:ascii="Times New Roman" w:hAnsi="Times New Roman" w:eastAsia="方正仿宋_GBK" w:cs="Times New Roman"/>
          <w:b/>
          <w:kern w:val="0"/>
          <w:sz w:val="32"/>
          <w:szCs w:val="32"/>
        </w:rPr>
        <w:t>4</w:t>
      </w:r>
      <w:r>
        <w:rPr>
          <w:rFonts w:hint="default" w:ascii="Times New Roman" w:hAnsi="Times New Roman" w:eastAsia="方正仿宋_GBK" w:cs="Times New Roman"/>
          <w:b/>
          <w:sz w:val="32"/>
          <w:szCs w:val="32"/>
        </w:rPr>
        <w:t>．一般公共服务（类）纪检监察事务（款）巡视工作（项）</w:t>
      </w:r>
      <w:r>
        <w:rPr>
          <w:rFonts w:hint="default" w:ascii="Times New Roman" w:hAnsi="Times New Roman" w:eastAsia="方正仿宋_GBK" w:cs="Times New Roman"/>
          <w:bCs/>
          <w:sz w:val="32"/>
          <w:szCs w:val="32"/>
        </w:rPr>
        <w:t>:支出决算数为</w:t>
      </w:r>
      <w:r>
        <w:rPr>
          <w:rFonts w:hint="eastAsia" w:eastAsia="方正仿宋_GBK" w:cs="Times New Roman"/>
          <w:b/>
          <w:bCs w:val="0"/>
          <w:sz w:val="32"/>
          <w:szCs w:val="32"/>
          <w:lang w:val="en-US" w:eastAsia="zh-CN"/>
        </w:rPr>
        <w:t>147.62</w:t>
      </w:r>
      <w:r>
        <w:rPr>
          <w:rFonts w:hint="default" w:ascii="Times New Roman" w:hAnsi="Times New Roman" w:eastAsia="方正仿宋_GBK" w:cs="Times New Roman"/>
          <w:bCs/>
          <w:sz w:val="32"/>
          <w:szCs w:val="32"/>
        </w:rPr>
        <w:t>万元，完成预算</w:t>
      </w:r>
      <w:r>
        <w:rPr>
          <w:rFonts w:hint="default" w:ascii="Times New Roman" w:hAnsi="Times New Roman" w:eastAsia="方正仿宋_GBK" w:cs="Times New Roman"/>
          <w:b/>
          <w:bCs w:val="0"/>
          <w:sz w:val="32"/>
          <w:szCs w:val="32"/>
        </w:rPr>
        <w:t>100%</w:t>
      </w:r>
      <w:r>
        <w:rPr>
          <w:rFonts w:hint="default" w:ascii="Times New Roman" w:hAnsi="Times New Roman" w:eastAsia="方正仿宋_GBK" w:cs="Times New Roman"/>
          <w:bCs/>
          <w:sz w:val="32"/>
          <w:szCs w:val="32"/>
        </w:rPr>
        <w:t>，决算数与预算数持平。</w:t>
      </w:r>
    </w:p>
    <w:p w14:paraId="0E1A7319">
      <w:pPr>
        <w:spacing w:line="240" w:lineRule="auto"/>
        <w:ind w:firstLine="630" w:firstLineChars="196"/>
        <w:rPr>
          <w:rFonts w:hint="default" w:ascii="Times New Roman" w:hAnsi="Times New Roman" w:eastAsia="方正仿宋_GBK" w:cs="Times New Roman"/>
          <w:bCs/>
          <w:sz w:val="32"/>
          <w:szCs w:val="32"/>
        </w:rPr>
      </w:pPr>
      <w:r>
        <w:rPr>
          <w:rFonts w:hint="default" w:ascii="Times New Roman" w:hAnsi="Times New Roman" w:eastAsia="方正仿宋_GBK" w:cs="Times New Roman"/>
          <w:b/>
          <w:kern w:val="0"/>
          <w:sz w:val="32"/>
          <w:szCs w:val="32"/>
        </w:rPr>
        <w:t>5</w:t>
      </w:r>
      <w:r>
        <w:rPr>
          <w:rFonts w:hint="default" w:ascii="Times New Roman" w:hAnsi="Times New Roman" w:eastAsia="方正仿宋_GBK" w:cs="Times New Roman"/>
          <w:b/>
          <w:sz w:val="32"/>
          <w:szCs w:val="32"/>
        </w:rPr>
        <w:t>．一般公共服务（类）纪检监察事务（款）其他纪检监察事务支出（项）</w:t>
      </w:r>
      <w:r>
        <w:rPr>
          <w:rFonts w:hint="default" w:ascii="Times New Roman" w:hAnsi="Times New Roman" w:eastAsia="方正仿宋_GBK" w:cs="Times New Roman"/>
          <w:bCs/>
          <w:sz w:val="32"/>
          <w:szCs w:val="32"/>
        </w:rPr>
        <w:t>:支出决算数为</w:t>
      </w:r>
      <w:r>
        <w:rPr>
          <w:rFonts w:hint="eastAsia" w:eastAsia="方正仿宋_GBK" w:cs="Times New Roman"/>
          <w:b/>
          <w:bCs w:val="0"/>
          <w:sz w:val="32"/>
          <w:szCs w:val="32"/>
          <w:lang w:val="en-US" w:eastAsia="zh-CN"/>
        </w:rPr>
        <w:t>305.2</w:t>
      </w:r>
      <w:r>
        <w:rPr>
          <w:rFonts w:hint="default" w:ascii="Times New Roman" w:hAnsi="Times New Roman" w:eastAsia="方正仿宋_GBK" w:cs="Times New Roman"/>
          <w:bCs/>
          <w:sz w:val="32"/>
          <w:szCs w:val="32"/>
        </w:rPr>
        <w:t>万元，完成预算</w:t>
      </w:r>
      <w:r>
        <w:rPr>
          <w:rFonts w:hint="default" w:ascii="Times New Roman" w:hAnsi="Times New Roman" w:eastAsia="方正仿宋_GBK" w:cs="Times New Roman"/>
          <w:b/>
          <w:bCs w:val="0"/>
          <w:sz w:val="32"/>
          <w:szCs w:val="32"/>
        </w:rPr>
        <w:t>100%</w:t>
      </w:r>
      <w:r>
        <w:rPr>
          <w:rFonts w:hint="default" w:ascii="Times New Roman" w:hAnsi="Times New Roman" w:eastAsia="方正仿宋_GBK" w:cs="Times New Roman"/>
          <w:bCs/>
          <w:sz w:val="32"/>
          <w:szCs w:val="32"/>
        </w:rPr>
        <w:t>，决算数与预算数持平。</w:t>
      </w:r>
    </w:p>
    <w:p w14:paraId="5976DD72">
      <w:pPr>
        <w:spacing w:line="240" w:lineRule="auto"/>
        <w:ind w:firstLine="630" w:firstLineChars="196"/>
        <w:rPr>
          <w:rFonts w:hint="default" w:ascii="Times New Roman" w:hAnsi="Times New Roman" w:eastAsia="方正仿宋_GBK" w:cs="Times New Roman"/>
          <w:bCs/>
          <w:sz w:val="32"/>
          <w:szCs w:val="32"/>
        </w:rPr>
      </w:pPr>
      <w:r>
        <w:rPr>
          <w:rFonts w:hint="default" w:ascii="Times New Roman" w:hAnsi="Times New Roman" w:eastAsia="方正仿宋_GBK" w:cs="Times New Roman"/>
          <w:b/>
          <w:bCs w:val="0"/>
          <w:sz w:val="32"/>
          <w:szCs w:val="32"/>
          <w:lang w:val="en-US" w:eastAsia="zh-CN"/>
        </w:rPr>
        <w:t>6</w:t>
      </w:r>
      <w:r>
        <w:rPr>
          <w:rFonts w:hint="default" w:ascii="Times New Roman" w:hAnsi="Times New Roman" w:eastAsia="方正仿宋_GBK" w:cs="Times New Roman"/>
          <w:b/>
          <w:sz w:val="32"/>
          <w:szCs w:val="32"/>
        </w:rPr>
        <w:t>．一般公共服务（类）组织事务（款）其他组织事务支出（项）</w:t>
      </w:r>
      <w:r>
        <w:rPr>
          <w:rFonts w:hint="default" w:ascii="Times New Roman" w:hAnsi="Times New Roman" w:eastAsia="方正仿宋_GBK" w:cs="Times New Roman"/>
          <w:bCs/>
          <w:sz w:val="32"/>
          <w:szCs w:val="32"/>
        </w:rPr>
        <w:t>:支出决算数为</w:t>
      </w:r>
      <w:r>
        <w:rPr>
          <w:rFonts w:hint="eastAsia" w:eastAsia="方正仿宋_GBK" w:cs="Times New Roman"/>
          <w:b/>
          <w:bCs w:val="0"/>
          <w:sz w:val="32"/>
          <w:szCs w:val="32"/>
          <w:lang w:val="en-US" w:eastAsia="zh-CN"/>
        </w:rPr>
        <w:t>3.72</w:t>
      </w:r>
      <w:r>
        <w:rPr>
          <w:rFonts w:hint="default" w:ascii="Times New Roman" w:hAnsi="Times New Roman" w:eastAsia="方正仿宋_GBK" w:cs="Times New Roman"/>
          <w:bCs/>
          <w:sz w:val="32"/>
          <w:szCs w:val="32"/>
        </w:rPr>
        <w:t>万元，完成预算</w:t>
      </w:r>
      <w:r>
        <w:rPr>
          <w:rFonts w:hint="default" w:ascii="Times New Roman" w:hAnsi="Times New Roman" w:eastAsia="方正仿宋_GBK" w:cs="Times New Roman"/>
          <w:b/>
          <w:bCs w:val="0"/>
          <w:sz w:val="32"/>
          <w:szCs w:val="32"/>
        </w:rPr>
        <w:t>100%</w:t>
      </w:r>
      <w:r>
        <w:rPr>
          <w:rFonts w:hint="default" w:ascii="Times New Roman" w:hAnsi="Times New Roman" w:eastAsia="方正仿宋_GBK" w:cs="Times New Roman"/>
          <w:bCs/>
          <w:sz w:val="32"/>
          <w:szCs w:val="32"/>
        </w:rPr>
        <w:t>，决算数与预算数持平。</w:t>
      </w:r>
    </w:p>
    <w:p w14:paraId="5F0A9EC9">
      <w:pPr>
        <w:spacing w:line="240" w:lineRule="auto"/>
        <w:ind w:firstLine="630" w:firstLineChars="196"/>
        <w:rPr>
          <w:rFonts w:hint="default"/>
        </w:rPr>
      </w:pPr>
      <w:r>
        <w:rPr>
          <w:rFonts w:hint="default" w:ascii="Times New Roman" w:hAnsi="Times New Roman" w:eastAsia="方正仿宋_GBK" w:cs="Times New Roman"/>
          <w:b/>
          <w:bCs/>
          <w:kern w:val="0"/>
          <w:sz w:val="32"/>
          <w:szCs w:val="32"/>
          <w:lang w:val="en-US" w:eastAsia="zh-CN"/>
        </w:rPr>
        <w:t>7</w:t>
      </w:r>
      <w:r>
        <w:rPr>
          <w:rFonts w:hint="default" w:ascii="Times New Roman" w:hAnsi="Times New Roman" w:eastAsia="方正仿宋_GBK" w:cs="Times New Roman"/>
          <w:b/>
          <w:bCs/>
          <w:sz w:val="32"/>
          <w:szCs w:val="32"/>
        </w:rPr>
        <w:t>．社会保障和就业（类）</w:t>
      </w:r>
      <w:r>
        <w:rPr>
          <w:rFonts w:hint="eastAsia" w:eastAsia="方正仿宋_GBK" w:cs="Times New Roman"/>
          <w:b/>
          <w:bCs/>
          <w:sz w:val="32"/>
          <w:szCs w:val="32"/>
          <w:lang w:val="en-US" w:eastAsia="zh-CN"/>
        </w:rPr>
        <w:t>人力资源和社会保障管理事务</w:t>
      </w:r>
      <w:r>
        <w:rPr>
          <w:rFonts w:hint="default" w:ascii="Times New Roman" w:hAnsi="Times New Roman" w:eastAsia="方正仿宋_GBK" w:cs="Times New Roman"/>
          <w:b/>
          <w:bCs/>
          <w:sz w:val="32"/>
          <w:szCs w:val="32"/>
        </w:rPr>
        <w:t>（款）</w:t>
      </w:r>
      <w:r>
        <w:rPr>
          <w:rFonts w:hint="eastAsia" w:eastAsia="方正仿宋_GBK" w:cs="Times New Roman"/>
          <w:b/>
          <w:bCs/>
          <w:sz w:val="32"/>
          <w:szCs w:val="32"/>
          <w:lang w:val="en-US" w:eastAsia="zh-CN"/>
        </w:rPr>
        <w:t>其他人力资源和社会保障管理事务支出</w:t>
      </w:r>
      <w:r>
        <w:rPr>
          <w:rFonts w:hint="default" w:ascii="Times New Roman" w:hAnsi="Times New Roman" w:eastAsia="方正仿宋_GBK" w:cs="Times New Roman"/>
          <w:b/>
          <w:bCs/>
          <w:sz w:val="32"/>
          <w:szCs w:val="32"/>
        </w:rPr>
        <w:t>（项）</w:t>
      </w:r>
      <w:r>
        <w:rPr>
          <w:rFonts w:hint="default" w:ascii="Times New Roman" w:hAnsi="Times New Roman" w:eastAsia="方正仿宋_GBK" w:cs="Times New Roman"/>
          <w:bCs/>
          <w:sz w:val="32"/>
          <w:szCs w:val="32"/>
        </w:rPr>
        <w:t>:支出决算数为</w:t>
      </w:r>
      <w:r>
        <w:rPr>
          <w:rFonts w:hint="eastAsia" w:eastAsia="方正仿宋_GBK" w:cs="Times New Roman"/>
          <w:b/>
          <w:bCs w:val="0"/>
          <w:sz w:val="32"/>
          <w:szCs w:val="32"/>
          <w:lang w:val="en-US" w:eastAsia="zh-CN"/>
        </w:rPr>
        <w:t>31</w:t>
      </w:r>
      <w:r>
        <w:rPr>
          <w:rFonts w:hint="default" w:ascii="Times New Roman" w:hAnsi="Times New Roman" w:eastAsia="方正仿宋_GBK" w:cs="Times New Roman"/>
          <w:bCs/>
          <w:sz w:val="32"/>
          <w:szCs w:val="32"/>
        </w:rPr>
        <w:t>万元，完成预算</w:t>
      </w:r>
      <w:r>
        <w:rPr>
          <w:rFonts w:hint="default" w:ascii="Times New Roman" w:hAnsi="Times New Roman" w:eastAsia="方正仿宋_GBK" w:cs="Times New Roman"/>
          <w:b/>
          <w:bCs w:val="0"/>
          <w:sz w:val="32"/>
          <w:szCs w:val="32"/>
        </w:rPr>
        <w:t>100%</w:t>
      </w:r>
      <w:r>
        <w:rPr>
          <w:rFonts w:hint="default" w:ascii="Times New Roman" w:hAnsi="Times New Roman" w:eastAsia="方正仿宋_GBK" w:cs="Times New Roman"/>
          <w:bCs/>
          <w:sz w:val="32"/>
          <w:szCs w:val="32"/>
        </w:rPr>
        <w:t>，决算数与预算数持平。</w:t>
      </w:r>
    </w:p>
    <w:p w14:paraId="150CE14C">
      <w:pPr>
        <w:spacing w:line="240" w:lineRule="auto"/>
        <w:ind w:firstLine="630" w:firstLineChars="196"/>
        <w:rPr>
          <w:rFonts w:hint="default" w:ascii="Times New Roman" w:hAnsi="Times New Roman" w:eastAsia="方正仿宋_GBK" w:cs="Times New Roman"/>
          <w:bCs/>
          <w:sz w:val="32"/>
          <w:szCs w:val="32"/>
        </w:rPr>
      </w:pPr>
      <w:r>
        <w:rPr>
          <w:rFonts w:hint="eastAsia" w:eastAsia="方正仿宋_GBK" w:cs="Times New Roman"/>
          <w:b/>
          <w:bCs/>
          <w:kern w:val="0"/>
          <w:sz w:val="32"/>
          <w:szCs w:val="32"/>
          <w:lang w:val="en-US" w:eastAsia="zh-CN"/>
        </w:rPr>
        <w:t>8</w:t>
      </w:r>
      <w:r>
        <w:rPr>
          <w:rFonts w:hint="default" w:ascii="Times New Roman" w:hAnsi="Times New Roman" w:eastAsia="方正仿宋_GBK" w:cs="Times New Roman"/>
          <w:b/>
          <w:bCs/>
          <w:sz w:val="32"/>
          <w:szCs w:val="32"/>
        </w:rPr>
        <w:t>．社会保障和就业（类）行政事业单位养老支出（款）行政单位离退休（项）</w:t>
      </w:r>
      <w:r>
        <w:rPr>
          <w:rFonts w:hint="default" w:ascii="Times New Roman" w:hAnsi="Times New Roman" w:eastAsia="方正仿宋_GBK" w:cs="Times New Roman"/>
          <w:bCs/>
          <w:sz w:val="32"/>
          <w:szCs w:val="32"/>
        </w:rPr>
        <w:t>:支出决算数为</w:t>
      </w:r>
      <w:r>
        <w:rPr>
          <w:rFonts w:hint="eastAsia" w:eastAsia="方正仿宋_GBK" w:cs="Times New Roman"/>
          <w:b/>
          <w:bCs w:val="0"/>
          <w:sz w:val="32"/>
          <w:szCs w:val="32"/>
          <w:lang w:val="en-US" w:eastAsia="zh-CN"/>
        </w:rPr>
        <w:t>147.84</w:t>
      </w:r>
      <w:r>
        <w:rPr>
          <w:rFonts w:hint="default" w:ascii="Times New Roman" w:hAnsi="Times New Roman" w:eastAsia="方正仿宋_GBK" w:cs="Times New Roman"/>
          <w:bCs/>
          <w:sz w:val="32"/>
          <w:szCs w:val="32"/>
        </w:rPr>
        <w:t>万元，完成预算</w:t>
      </w:r>
      <w:r>
        <w:rPr>
          <w:rFonts w:hint="default" w:ascii="Times New Roman" w:hAnsi="Times New Roman" w:eastAsia="方正仿宋_GBK" w:cs="Times New Roman"/>
          <w:b/>
          <w:bCs w:val="0"/>
          <w:sz w:val="32"/>
          <w:szCs w:val="32"/>
        </w:rPr>
        <w:t>100%</w:t>
      </w:r>
      <w:r>
        <w:rPr>
          <w:rFonts w:hint="default" w:ascii="Times New Roman" w:hAnsi="Times New Roman" w:eastAsia="方正仿宋_GBK" w:cs="Times New Roman"/>
          <w:bCs/>
          <w:sz w:val="32"/>
          <w:szCs w:val="32"/>
        </w:rPr>
        <w:t>，决算数与预算数持平。</w:t>
      </w:r>
    </w:p>
    <w:p w14:paraId="5DCD41F5">
      <w:pPr>
        <w:spacing w:line="240" w:lineRule="auto"/>
        <w:ind w:firstLine="643" w:firstLineChars="200"/>
        <w:rPr>
          <w:rFonts w:hint="default" w:ascii="Times New Roman" w:hAnsi="Times New Roman" w:eastAsia="方正仿宋_GBK" w:cs="Times New Roman"/>
          <w:kern w:val="0"/>
          <w:sz w:val="32"/>
          <w:szCs w:val="32"/>
        </w:rPr>
      </w:pPr>
      <w:r>
        <w:rPr>
          <w:rFonts w:hint="eastAsia" w:eastAsia="方正仿宋_GBK" w:cs="Times New Roman"/>
          <w:b/>
          <w:bCs/>
          <w:kern w:val="0"/>
          <w:sz w:val="32"/>
          <w:szCs w:val="32"/>
          <w:lang w:val="en-US" w:eastAsia="zh-CN"/>
        </w:rPr>
        <w:t>9</w:t>
      </w:r>
      <w:r>
        <w:rPr>
          <w:rFonts w:hint="default" w:ascii="Times New Roman" w:hAnsi="Times New Roman" w:eastAsia="方正仿宋_GBK" w:cs="Times New Roman"/>
          <w:b/>
          <w:bCs/>
          <w:sz w:val="32"/>
          <w:szCs w:val="32"/>
        </w:rPr>
        <w:t>．社会保障和就业（类）行政事业单位养老支出（款）机关事业单位基本养老保险缴费支出（项）</w:t>
      </w:r>
      <w:r>
        <w:rPr>
          <w:rFonts w:hint="default" w:ascii="Times New Roman" w:hAnsi="Times New Roman" w:eastAsia="方正仿宋_GBK" w:cs="Times New Roman"/>
          <w:sz w:val="32"/>
          <w:szCs w:val="32"/>
        </w:rPr>
        <w:t>:支出决算数为</w:t>
      </w:r>
      <w:r>
        <w:rPr>
          <w:rFonts w:hint="eastAsia" w:eastAsia="方正仿宋_GBK" w:cs="Times New Roman"/>
          <w:b/>
          <w:bCs w:val="0"/>
          <w:sz w:val="32"/>
          <w:szCs w:val="32"/>
          <w:lang w:val="en-US" w:eastAsia="zh-CN"/>
        </w:rPr>
        <w:t>235.43</w:t>
      </w:r>
      <w:r>
        <w:rPr>
          <w:rFonts w:hint="default" w:ascii="Times New Roman" w:hAnsi="Times New Roman" w:eastAsia="方正仿宋_GBK" w:cs="Times New Roman"/>
          <w:sz w:val="32"/>
          <w:szCs w:val="32"/>
        </w:rPr>
        <w:t>万元,完成预算</w:t>
      </w:r>
      <w:r>
        <w:rPr>
          <w:rFonts w:hint="default" w:ascii="Times New Roman" w:hAnsi="Times New Roman" w:eastAsia="方正仿宋_GBK" w:cs="Times New Roman"/>
          <w:b/>
          <w:bCs w:val="0"/>
          <w:sz w:val="32"/>
          <w:szCs w:val="32"/>
        </w:rPr>
        <w:t>100%</w:t>
      </w:r>
      <w:r>
        <w:rPr>
          <w:rFonts w:hint="default" w:ascii="Times New Roman" w:hAnsi="Times New Roman" w:eastAsia="方正仿宋_GBK" w:cs="Times New Roman"/>
          <w:sz w:val="32"/>
          <w:szCs w:val="32"/>
        </w:rPr>
        <w:t>，决算数与预算数持平。</w:t>
      </w:r>
    </w:p>
    <w:p w14:paraId="18D30D03">
      <w:pPr>
        <w:spacing w:line="240" w:lineRule="auto"/>
        <w:ind w:firstLine="643" w:firstLineChars="200"/>
        <w:rPr>
          <w:rFonts w:hint="default" w:ascii="Times New Roman" w:hAnsi="Times New Roman" w:eastAsia="方正仿宋_GBK" w:cs="Times New Roman"/>
          <w:sz w:val="32"/>
          <w:szCs w:val="32"/>
        </w:rPr>
      </w:pPr>
      <w:r>
        <w:rPr>
          <w:rFonts w:hint="eastAsia" w:eastAsia="方正仿宋_GBK" w:cs="Times New Roman"/>
          <w:b/>
          <w:bCs/>
          <w:color w:val="000000"/>
          <w:kern w:val="0"/>
          <w:sz w:val="32"/>
          <w:szCs w:val="32"/>
          <w:lang w:val="en-US" w:eastAsia="zh-CN"/>
        </w:rPr>
        <w:t>10</w:t>
      </w:r>
      <w:r>
        <w:rPr>
          <w:rFonts w:hint="default" w:ascii="Times New Roman" w:hAnsi="Times New Roman" w:eastAsia="方正仿宋_GBK" w:cs="Times New Roman"/>
          <w:b/>
          <w:bCs/>
          <w:sz w:val="32"/>
          <w:szCs w:val="32"/>
        </w:rPr>
        <w:t>．</w:t>
      </w:r>
      <w:r>
        <w:rPr>
          <w:rFonts w:hint="default" w:ascii="Times New Roman" w:hAnsi="Times New Roman" w:eastAsia="方正仿宋_GBK" w:cs="Times New Roman"/>
          <w:b/>
          <w:bCs/>
          <w:color w:val="000000"/>
          <w:sz w:val="32"/>
          <w:szCs w:val="32"/>
        </w:rPr>
        <w:t>社会保障和就业（类）</w:t>
      </w:r>
      <w:r>
        <w:rPr>
          <w:rFonts w:hint="default" w:ascii="Times New Roman" w:hAnsi="Times New Roman" w:eastAsia="方正仿宋_GBK" w:cs="Times New Roman"/>
          <w:b/>
          <w:bCs/>
          <w:sz w:val="32"/>
          <w:szCs w:val="32"/>
        </w:rPr>
        <w:t>行政事业单位养老支出</w:t>
      </w:r>
      <w:r>
        <w:rPr>
          <w:rFonts w:hint="default" w:ascii="Times New Roman" w:hAnsi="Times New Roman" w:eastAsia="方正仿宋_GBK" w:cs="Times New Roman"/>
          <w:b/>
          <w:bCs/>
          <w:color w:val="000000"/>
          <w:sz w:val="32"/>
          <w:szCs w:val="32"/>
        </w:rPr>
        <w:t>（款）机关事业单位职业年金缴费支出（项）</w:t>
      </w:r>
      <w:r>
        <w:rPr>
          <w:rFonts w:hint="default" w:ascii="Times New Roman" w:hAnsi="Times New Roman" w:eastAsia="方正仿宋_GBK" w:cs="Times New Roman"/>
          <w:color w:val="000000"/>
          <w:sz w:val="32"/>
          <w:szCs w:val="32"/>
        </w:rPr>
        <w:t>:支出决算数为</w:t>
      </w:r>
      <w:r>
        <w:rPr>
          <w:rFonts w:hint="eastAsia" w:eastAsia="方正仿宋_GBK" w:cs="Times New Roman"/>
          <w:b/>
          <w:bCs w:val="0"/>
          <w:color w:val="000000"/>
          <w:sz w:val="32"/>
          <w:szCs w:val="32"/>
          <w:lang w:val="en-US" w:eastAsia="zh-CN"/>
        </w:rPr>
        <w:t>34.63</w:t>
      </w:r>
      <w:r>
        <w:rPr>
          <w:rFonts w:hint="default" w:ascii="Times New Roman" w:hAnsi="Times New Roman" w:eastAsia="方正仿宋_GBK" w:cs="Times New Roman"/>
          <w:color w:val="000000"/>
          <w:sz w:val="32"/>
          <w:szCs w:val="32"/>
        </w:rPr>
        <w:t>万元，完成预算</w:t>
      </w:r>
      <w:r>
        <w:rPr>
          <w:rFonts w:hint="default" w:ascii="Times New Roman" w:hAnsi="Times New Roman" w:eastAsia="方正仿宋_GBK" w:cs="Times New Roman"/>
          <w:b/>
          <w:bCs w:val="0"/>
          <w:color w:val="000000"/>
          <w:sz w:val="32"/>
          <w:szCs w:val="32"/>
        </w:rPr>
        <w:t>100%</w:t>
      </w:r>
      <w:r>
        <w:rPr>
          <w:rFonts w:hint="default" w:ascii="Times New Roman" w:hAnsi="Times New Roman" w:eastAsia="方正仿宋_GBK" w:cs="Times New Roman"/>
          <w:color w:val="000000"/>
          <w:sz w:val="32"/>
          <w:szCs w:val="32"/>
        </w:rPr>
        <w:t>，</w:t>
      </w:r>
      <w:r>
        <w:rPr>
          <w:rFonts w:hint="default" w:ascii="Times New Roman" w:hAnsi="Times New Roman" w:eastAsia="方正仿宋_GBK" w:cs="Times New Roman"/>
          <w:sz w:val="32"/>
          <w:szCs w:val="32"/>
        </w:rPr>
        <w:t>决算数与预算数持平。</w:t>
      </w:r>
    </w:p>
    <w:p w14:paraId="025FC30E">
      <w:pPr>
        <w:spacing w:line="240" w:lineRule="auto"/>
        <w:ind w:firstLine="643"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1</w:t>
      </w:r>
      <w:r>
        <w:rPr>
          <w:rFonts w:hint="eastAsia" w:eastAsia="方正仿宋_GBK" w:cs="Times New Roman"/>
          <w:b/>
          <w:bCs/>
          <w:sz w:val="32"/>
          <w:szCs w:val="32"/>
          <w:lang w:val="en-US" w:eastAsia="zh-CN"/>
        </w:rPr>
        <w:t>1</w:t>
      </w:r>
      <w:r>
        <w:rPr>
          <w:rFonts w:hint="default" w:ascii="Times New Roman" w:hAnsi="Times New Roman" w:eastAsia="方正仿宋_GBK" w:cs="Times New Roman"/>
          <w:b/>
          <w:bCs/>
          <w:sz w:val="32"/>
          <w:szCs w:val="32"/>
        </w:rPr>
        <w:t>．社会保障和就业（类）</w:t>
      </w:r>
      <w:r>
        <w:rPr>
          <w:rFonts w:hint="eastAsia" w:eastAsia="方正仿宋_GBK" w:cs="Times New Roman"/>
          <w:b/>
          <w:bCs/>
          <w:sz w:val="32"/>
          <w:szCs w:val="32"/>
          <w:lang w:val="en-US" w:eastAsia="zh-CN"/>
        </w:rPr>
        <w:t>抚恤</w:t>
      </w:r>
      <w:r>
        <w:rPr>
          <w:rFonts w:hint="default" w:ascii="Times New Roman" w:hAnsi="Times New Roman" w:eastAsia="方正仿宋_GBK" w:cs="Times New Roman"/>
          <w:b/>
          <w:bCs/>
          <w:sz w:val="32"/>
          <w:szCs w:val="32"/>
        </w:rPr>
        <w:t>（款）</w:t>
      </w:r>
      <w:r>
        <w:rPr>
          <w:rFonts w:hint="eastAsia" w:eastAsia="方正仿宋_GBK" w:cs="Times New Roman"/>
          <w:b/>
          <w:bCs/>
          <w:sz w:val="32"/>
          <w:szCs w:val="32"/>
          <w:lang w:val="en-US" w:eastAsia="zh-CN"/>
        </w:rPr>
        <w:t>死亡抚恤</w:t>
      </w:r>
      <w:r>
        <w:rPr>
          <w:rFonts w:hint="default" w:ascii="Times New Roman" w:hAnsi="Times New Roman" w:eastAsia="方正仿宋_GBK" w:cs="Times New Roman"/>
          <w:b/>
          <w:bCs/>
          <w:sz w:val="32"/>
          <w:szCs w:val="32"/>
        </w:rPr>
        <w:t>（项）</w:t>
      </w:r>
      <w:r>
        <w:rPr>
          <w:rFonts w:hint="default" w:ascii="Times New Roman" w:hAnsi="Times New Roman" w:eastAsia="方正仿宋_GBK" w:cs="Times New Roman"/>
          <w:sz w:val="32"/>
          <w:szCs w:val="32"/>
        </w:rPr>
        <w:t>:支出决算数为</w:t>
      </w:r>
      <w:r>
        <w:rPr>
          <w:rFonts w:hint="eastAsia" w:eastAsia="方正仿宋_GBK" w:cs="Times New Roman"/>
          <w:b/>
          <w:bCs w:val="0"/>
          <w:sz w:val="32"/>
          <w:szCs w:val="32"/>
          <w:lang w:val="en-US" w:eastAsia="zh-CN"/>
        </w:rPr>
        <w:t>26.21</w:t>
      </w:r>
      <w:r>
        <w:rPr>
          <w:rFonts w:hint="default" w:ascii="Times New Roman" w:hAnsi="Times New Roman" w:eastAsia="方正仿宋_GBK" w:cs="Times New Roman"/>
          <w:sz w:val="32"/>
          <w:szCs w:val="32"/>
        </w:rPr>
        <w:t>万元，完成预算</w:t>
      </w:r>
      <w:r>
        <w:rPr>
          <w:rFonts w:hint="default" w:ascii="Times New Roman" w:hAnsi="Times New Roman" w:eastAsia="方正仿宋_GBK" w:cs="Times New Roman"/>
          <w:b/>
          <w:bCs w:val="0"/>
          <w:sz w:val="32"/>
          <w:szCs w:val="32"/>
        </w:rPr>
        <w:t>100%</w:t>
      </w:r>
      <w:r>
        <w:rPr>
          <w:rFonts w:hint="default" w:ascii="Times New Roman" w:hAnsi="Times New Roman" w:eastAsia="方正仿宋_GBK" w:cs="Times New Roman"/>
          <w:sz w:val="32"/>
          <w:szCs w:val="32"/>
        </w:rPr>
        <w:t>，决算数与预算数持平。</w:t>
      </w:r>
    </w:p>
    <w:p w14:paraId="7FC323B3">
      <w:pPr>
        <w:spacing w:line="240" w:lineRule="auto"/>
        <w:ind w:firstLine="643"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b/>
          <w:bCs/>
          <w:kern w:val="0"/>
          <w:sz w:val="32"/>
          <w:szCs w:val="32"/>
          <w:lang w:val="en-US" w:eastAsia="zh-CN"/>
        </w:rPr>
        <w:t>1</w:t>
      </w:r>
      <w:r>
        <w:rPr>
          <w:rFonts w:hint="eastAsia" w:eastAsia="方正仿宋_GBK" w:cs="Times New Roman"/>
          <w:b/>
          <w:bCs/>
          <w:kern w:val="0"/>
          <w:sz w:val="32"/>
          <w:szCs w:val="32"/>
          <w:lang w:val="en-US" w:eastAsia="zh-CN"/>
        </w:rPr>
        <w:t>2</w:t>
      </w:r>
      <w:r>
        <w:rPr>
          <w:rFonts w:hint="default" w:ascii="Times New Roman" w:hAnsi="Times New Roman" w:eastAsia="方正仿宋_GBK" w:cs="Times New Roman"/>
          <w:b/>
          <w:bCs/>
          <w:sz w:val="32"/>
          <w:szCs w:val="32"/>
        </w:rPr>
        <w:t>．社会保障和就业（类）社会福利（款）儿童福利（项）</w:t>
      </w:r>
      <w:r>
        <w:rPr>
          <w:rFonts w:hint="default" w:ascii="Times New Roman" w:hAnsi="Times New Roman" w:eastAsia="方正仿宋_GBK" w:cs="Times New Roman"/>
          <w:sz w:val="32"/>
          <w:szCs w:val="32"/>
        </w:rPr>
        <w:t>:支出决算数为</w:t>
      </w:r>
      <w:r>
        <w:rPr>
          <w:rFonts w:hint="eastAsia" w:ascii="Times New Roman" w:hAnsi="Times New Roman" w:eastAsia="方正仿宋_GBK" w:cs="Times New Roman"/>
          <w:b/>
          <w:bCs/>
          <w:sz w:val="32"/>
          <w:szCs w:val="32"/>
          <w:lang w:val="en-US" w:eastAsia="zh-CN"/>
        </w:rPr>
        <w:t>0.6</w:t>
      </w:r>
      <w:r>
        <w:rPr>
          <w:rFonts w:hint="eastAsia" w:eastAsia="方正仿宋_GBK" w:cs="Times New Roman"/>
          <w:b/>
          <w:bCs/>
          <w:sz w:val="32"/>
          <w:szCs w:val="32"/>
          <w:lang w:val="en-US" w:eastAsia="zh-CN"/>
        </w:rPr>
        <w:t>2</w:t>
      </w:r>
      <w:r>
        <w:rPr>
          <w:rFonts w:hint="default" w:ascii="Times New Roman" w:hAnsi="Times New Roman" w:eastAsia="方正仿宋_GBK" w:cs="Times New Roman"/>
          <w:sz w:val="32"/>
          <w:szCs w:val="32"/>
        </w:rPr>
        <w:t>万元，完成预算</w:t>
      </w:r>
      <w:r>
        <w:rPr>
          <w:rFonts w:hint="default" w:ascii="Times New Roman" w:hAnsi="Times New Roman" w:eastAsia="方正仿宋_GBK" w:cs="Times New Roman"/>
          <w:b/>
          <w:bCs/>
          <w:sz w:val="32"/>
          <w:szCs w:val="32"/>
        </w:rPr>
        <w:t>100%</w:t>
      </w:r>
      <w:r>
        <w:rPr>
          <w:rFonts w:hint="default" w:ascii="Times New Roman" w:hAnsi="Times New Roman" w:eastAsia="方正仿宋_GBK" w:cs="Times New Roman"/>
          <w:sz w:val="32"/>
          <w:szCs w:val="32"/>
        </w:rPr>
        <w:t>，决算数与预算数持平。</w:t>
      </w:r>
    </w:p>
    <w:p w14:paraId="2AE4DE68">
      <w:pPr>
        <w:spacing w:line="240" w:lineRule="auto"/>
        <w:ind w:firstLine="643"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1</w:t>
      </w:r>
      <w:r>
        <w:rPr>
          <w:rFonts w:hint="eastAsia" w:eastAsia="方正仿宋_GBK" w:cs="Times New Roman"/>
          <w:b/>
          <w:bCs/>
          <w:sz w:val="32"/>
          <w:szCs w:val="32"/>
          <w:lang w:val="en-US" w:eastAsia="zh-CN"/>
        </w:rPr>
        <w:t>3</w:t>
      </w:r>
      <w:r>
        <w:rPr>
          <w:rFonts w:hint="default" w:ascii="Times New Roman" w:hAnsi="Times New Roman" w:eastAsia="方正仿宋_GBK" w:cs="Times New Roman"/>
          <w:b/>
          <w:bCs/>
          <w:sz w:val="32"/>
          <w:szCs w:val="32"/>
        </w:rPr>
        <w:t>．卫生健康支出（类）行政事业单位医疗（款）行政单位医疗（项）</w:t>
      </w:r>
      <w:r>
        <w:rPr>
          <w:rFonts w:hint="default" w:ascii="Times New Roman" w:hAnsi="Times New Roman" w:eastAsia="方正仿宋_GBK" w:cs="Times New Roman"/>
          <w:sz w:val="32"/>
          <w:szCs w:val="32"/>
        </w:rPr>
        <w:t>:支出决算数为</w:t>
      </w:r>
      <w:r>
        <w:rPr>
          <w:rFonts w:hint="eastAsia" w:eastAsia="方正仿宋_GBK" w:cs="Times New Roman"/>
          <w:b/>
          <w:bCs/>
          <w:sz w:val="32"/>
          <w:szCs w:val="32"/>
          <w:lang w:val="en-US" w:eastAsia="zh-CN"/>
        </w:rPr>
        <w:t>109.18</w:t>
      </w:r>
      <w:r>
        <w:rPr>
          <w:rFonts w:hint="default" w:ascii="Times New Roman" w:hAnsi="Times New Roman" w:eastAsia="方正仿宋_GBK" w:cs="Times New Roman"/>
          <w:sz w:val="32"/>
          <w:szCs w:val="32"/>
        </w:rPr>
        <w:t>万元，完成预算</w:t>
      </w:r>
      <w:r>
        <w:rPr>
          <w:rFonts w:hint="default" w:ascii="Times New Roman" w:hAnsi="Times New Roman" w:eastAsia="方正仿宋_GBK" w:cs="Times New Roman"/>
          <w:b/>
          <w:bCs/>
          <w:sz w:val="32"/>
          <w:szCs w:val="32"/>
        </w:rPr>
        <w:t>100%</w:t>
      </w:r>
      <w:r>
        <w:rPr>
          <w:rFonts w:hint="default" w:ascii="Times New Roman" w:hAnsi="Times New Roman" w:eastAsia="方正仿宋_GBK" w:cs="Times New Roman"/>
          <w:sz w:val="32"/>
          <w:szCs w:val="32"/>
        </w:rPr>
        <w:t>，决算数与预算数持平。</w:t>
      </w:r>
    </w:p>
    <w:p w14:paraId="31912590">
      <w:pPr>
        <w:spacing w:line="240" w:lineRule="auto"/>
        <w:ind w:firstLine="643" w:firstLineChars="200"/>
        <w:rPr>
          <w:rFonts w:hint="default" w:ascii="Times New Roman" w:hAnsi="Times New Roman" w:eastAsia="方正仿宋_GBK" w:cs="Times New Roman"/>
          <w:b/>
          <w:sz w:val="32"/>
          <w:szCs w:val="32"/>
        </w:rPr>
      </w:pPr>
      <w:r>
        <w:rPr>
          <w:rFonts w:hint="default" w:ascii="Times New Roman" w:hAnsi="Times New Roman" w:eastAsia="方正仿宋_GBK" w:cs="Times New Roman"/>
          <w:b/>
          <w:bCs/>
          <w:sz w:val="32"/>
          <w:szCs w:val="32"/>
        </w:rPr>
        <w:t>1</w:t>
      </w:r>
      <w:r>
        <w:rPr>
          <w:rFonts w:hint="eastAsia" w:eastAsia="方正仿宋_GBK" w:cs="Times New Roman"/>
          <w:b/>
          <w:bCs/>
          <w:sz w:val="32"/>
          <w:szCs w:val="32"/>
          <w:lang w:val="en-US" w:eastAsia="zh-CN"/>
        </w:rPr>
        <w:t>4</w:t>
      </w:r>
      <w:r>
        <w:rPr>
          <w:rFonts w:hint="default" w:ascii="Times New Roman" w:hAnsi="Times New Roman" w:eastAsia="方正仿宋_GBK" w:cs="Times New Roman"/>
          <w:b/>
          <w:bCs/>
          <w:sz w:val="32"/>
          <w:szCs w:val="32"/>
        </w:rPr>
        <w:t>．卫生健康支出（类）行政事业单位医疗（款）公务员医疗补助（项）</w:t>
      </w:r>
      <w:r>
        <w:rPr>
          <w:rFonts w:hint="default" w:ascii="Times New Roman" w:hAnsi="Times New Roman" w:eastAsia="方正仿宋_GBK" w:cs="Times New Roman"/>
          <w:sz w:val="32"/>
          <w:szCs w:val="32"/>
        </w:rPr>
        <w:t>:支出决算数为</w:t>
      </w:r>
      <w:r>
        <w:rPr>
          <w:rFonts w:hint="eastAsia" w:eastAsia="方正仿宋_GBK" w:cs="Times New Roman"/>
          <w:b/>
          <w:bCs/>
          <w:sz w:val="32"/>
          <w:szCs w:val="32"/>
          <w:lang w:val="en-US" w:eastAsia="zh-CN"/>
        </w:rPr>
        <w:t>12.45</w:t>
      </w:r>
      <w:r>
        <w:rPr>
          <w:rFonts w:hint="default" w:ascii="Times New Roman" w:hAnsi="Times New Roman" w:eastAsia="方正仿宋_GBK" w:cs="Times New Roman"/>
          <w:sz w:val="32"/>
          <w:szCs w:val="32"/>
        </w:rPr>
        <w:t>万元，完成预算</w:t>
      </w:r>
      <w:r>
        <w:rPr>
          <w:rFonts w:hint="default" w:ascii="Times New Roman" w:hAnsi="Times New Roman" w:eastAsia="方正仿宋_GBK" w:cs="Times New Roman"/>
          <w:b/>
          <w:bCs/>
          <w:sz w:val="32"/>
          <w:szCs w:val="32"/>
        </w:rPr>
        <w:t>100%</w:t>
      </w:r>
      <w:r>
        <w:rPr>
          <w:rFonts w:hint="default" w:ascii="Times New Roman" w:hAnsi="Times New Roman" w:eastAsia="方正仿宋_GBK" w:cs="Times New Roman"/>
          <w:sz w:val="32"/>
          <w:szCs w:val="32"/>
        </w:rPr>
        <w:t>，决算数与预算数持平。</w:t>
      </w:r>
    </w:p>
    <w:p w14:paraId="6880B309">
      <w:pPr>
        <w:spacing w:line="240" w:lineRule="auto"/>
        <w:ind w:firstLine="643"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b/>
          <w:bCs/>
          <w:sz w:val="32"/>
          <w:szCs w:val="32"/>
        </w:rPr>
        <w:t>1</w:t>
      </w:r>
      <w:r>
        <w:rPr>
          <w:rFonts w:hint="eastAsia" w:eastAsia="方正仿宋_GBK" w:cs="Times New Roman"/>
          <w:b/>
          <w:bCs/>
          <w:sz w:val="32"/>
          <w:szCs w:val="32"/>
          <w:lang w:val="en-US" w:eastAsia="zh-CN"/>
        </w:rPr>
        <w:t>5</w:t>
      </w:r>
      <w:r>
        <w:rPr>
          <w:rFonts w:hint="default" w:ascii="Times New Roman" w:hAnsi="Times New Roman" w:eastAsia="方正仿宋_GBK" w:cs="Times New Roman"/>
          <w:b/>
          <w:bCs/>
          <w:sz w:val="32"/>
          <w:szCs w:val="32"/>
        </w:rPr>
        <w:t>．卫生健康支出（类）行政事业单位医疗（款）其他行政事业单位医疗支出（项）</w:t>
      </w:r>
      <w:r>
        <w:rPr>
          <w:rFonts w:hint="default" w:ascii="Times New Roman" w:hAnsi="Times New Roman" w:eastAsia="方正仿宋_GBK" w:cs="Times New Roman"/>
          <w:sz w:val="32"/>
          <w:szCs w:val="32"/>
        </w:rPr>
        <w:t>:支出决算数为</w:t>
      </w:r>
      <w:r>
        <w:rPr>
          <w:rFonts w:hint="eastAsia" w:eastAsia="方正仿宋_GBK" w:cs="Times New Roman"/>
          <w:b/>
          <w:bCs/>
          <w:sz w:val="32"/>
          <w:szCs w:val="32"/>
          <w:lang w:val="en-US" w:eastAsia="zh-CN"/>
        </w:rPr>
        <w:t>13.91</w:t>
      </w:r>
      <w:r>
        <w:rPr>
          <w:rFonts w:hint="default" w:ascii="Times New Roman" w:hAnsi="Times New Roman" w:eastAsia="方正仿宋_GBK" w:cs="Times New Roman"/>
          <w:sz w:val="32"/>
          <w:szCs w:val="32"/>
        </w:rPr>
        <w:t>万元，完成预算</w:t>
      </w:r>
      <w:r>
        <w:rPr>
          <w:rFonts w:hint="default" w:ascii="Times New Roman" w:hAnsi="Times New Roman" w:eastAsia="方正仿宋_GBK" w:cs="Times New Roman"/>
          <w:b/>
          <w:bCs/>
          <w:sz w:val="32"/>
          <w:szCs w:val="32"/>
        </w:rPr>
        <w:t>100%</w:t>
      </w:r>
      <w:r>
        <w:rPr>
          <w:rFonts w:hint="default" w:ascii="Times New Roman" w:hAnsi="Times New Roman" w:eastAsia="方正仿宋_GBK" w:cs="Times New Roman"/>
          <w:sz w:val="32"/>
          <w:szCs w:val="32"/>
        </w:rPr>
        <w:t>，决算数与预算数持平。</w:t>
      </w:r>
    </w:p>
    <w:p w14:paraId="661D9DCF">
      <w:pPr>
        <w:spacing w:line="240" w:lineRule="auto"/>
        <w:ind w:firstLine="643" w:firstLineChars="200"/>
        <w:rPr>
          <w:rFonts w:hint="default" w:ascii="Times New Roman" w:hAnsi="Times New Roman" w:eastAsia="方正仿宋_GBK" w:cs="Times New Roman"/>
          <w:b/>
          <w:sz w:val="32"/>
          <w:szCs w:val="32"/>
        </w:rPr>
      </w:pPr>
      <w:r>
        <w:rPr>
          <w:rFonts w:hint="default" w:ascii="Times New Roman" w:hAnsi="Times New Roman" w:eastAsia="方正仿宋_GBK" w:cs="Times New Roman"/>
          <w:b/>
          <w:bCs/>
          <w:sz w:val="32"/>
          <w:szCs w:val="32"/>
        </w:rPr>
        <w:t>1</w:t>
      </w:r>
      <w:r>
        <w:rPr>
          <w:rFonts w:hint="eastAsia" w:eastAsia="方正仿宋_GBK" w:cs="Times New Roman"/>
          <w:b/>
          <w:bCs/>
          <w:sz w:val="32"/>
          <w:szCs w:val="32"/>
          <w:lang w:val="en-US" w:eastAsia="zh-CN"/>
        </w:rPr>
        <w:t>6</w:t>
      </w:r>
      <w:r>
        <w:rPr>
          <w:rFonts w:hint="default" w:ascii="Times New Roman" w:hAnsi="Times New Roman" w:eastAsia="方正仿宋_GBK" w:cs="Times New Roman"/>
          <w:b/>
          <w:bCs/>
          <w:sz w:val="32"/>
          <w:szCs w:val="32"/>
        </w:rPr>
        <w:t>．卫生健康支出（类）其他卫生健康支出（款）其他卫生健康支出（项）</w:t>
      </w:r>
      <w:r>
        <w:rPr>
          <w:rFonts w:hint="default" w:ascii="Times New Roman" w:hAnsi="Times New Roman" w:eastAsia="方正仿宋_GBK" w:cs="Times New Roman"/>
          <w:sz w:val="32"/>
          <w:szCs w:val="32"/>
        </w:rPr>
        <w:t>:支出决算数为</w:t>
      </w:r>
      <w:r>
        <w:rPr>
          <w:rFonts w:hint="eastAsia" w:eastAsia="方正仿宋_GBK" w:cs="Times New Roman"/>
          <w:b/>
          <w:bCs/>
          <w:sz w:val="32"/>
          <w:szCs w:val="32"/>
          <w:lang w:val="en-US" w:eastAsia="zh-CN"/>
        </w:rPr>
        <w:t>0.36</w:t>
      </w:r>
      <w:r>
        <w:rPr>
          <w:rFonts w:hint="default" w:ascii="Times New Roman" w:hAnsi="Times New Roman" w:eastAsia="方正仿宋_GBK" w:cs="Times New Roman"/>
          <w:sz w:val="32"/>
          <w:szCs w:val="32"/>
        </w:rPr>
        <w:t>万元，完成预算</w:t>
      </w:r>
      <w:r>
        <w:rPr>
          <w:rFonts w:hint="default" w:ascii="Times New Roman" w:hAnsi="Times New Roman" w:eastAsia="方正仿宋_GBK" w:cs="Times New Roman"/>
          <w:b/>
          <w:bCs/>
          <w:sz w:val="32"/>
          <w:szCs w:val="32"/>
        </w:rPr>
        <w:t>100%</w:t>
      </w:r>
      <w:r>
        <w:rPr>
          <w:rFonts w:hint="default" w:ascii="Times New Roman" w:hAnsi="Times New Roman" w:eastAsia="方正仿宋_GBK" w:cs="Times New Roman"/>
          <w:sz w:val="32"/>
          <w:szCs w:val="32"/>
        </w:rPr>
        <w:t>，决算数与预算数持平。</w:t>
      </w:r>
    </w:p>
    <w:p w14:paraId="65BB4404">
      <w:pPr>
        <w:spacing w:line="240" w:lineRule="auto"/>
        <w:ind w:firstLine="643" w:firstLineChars="200"/>
        <w:rPr>
          <w:rFonts w:hint="default" w:ascii="Times New Roman" w:hAnsi="Times New Roman" w:eastAsia="方正仿宋_GBK" w:cs="Times New Roman"/>
          <w:b/>
          <w:sz w:val="32"/>
          <w:szCs w:val="32"/>
        </w:rPr>
      </w:pPr>
      <w:r>
        <w:rPr>
          <w:rFonts w:hint="default" w:ascii="Times New Roman" w:hAnsi="Times New Roman" w:eastAsia="方正仿宋_GBK" w:cs="Times New Roman"/>
          <w:b/>
          <w:bCs/>
          <w:sz w:val="32"/>
          <w:szCs w:val="32"/>
        </w:rPr>
        <w:t>1</w:t>
      </w:r>
      <w:r>
        <w:rPr>
          <w:rFonts w:hint="eastAsia" w:eastAsia="方正仿宋_GBK" w:cs="Times New Roman"/>
          <w:b/>
          <w:bCs/>
          <w:sz w:val="32"/>
          <w:szCs w:val="32"/>
          <w:lang w:val="en-US" w:eastAsia="zh-CN"/>
        </w:rPr>
        <w:t>7</w:t>
      </w:r>
      <w:r>
        <w:rPr>
          <w:rFonts w:hint="default" w:ascii="Times New Roman" w:hAnsi="Times New Roman" w:eastAsia="方正仿宋_GBK" w:cs="Times New Roman"/>
          <w:b/>
          <w:bCs/>
          <w:sz w:val="32"/>
          <w:szCs w:val="32"/>
        </w:rPr>
        <w:t>．住房保障支出（类）住房改革支出（款）住房公积金（项）</w:t>
      </w:r>
      <w:r>
        <w:rPr>
          <w:rFonts w:hint="default" w:ascii="Times New Roman" w:hAnsi="Times New Roman" w:eastAsia="方正仿宋_GBK" w:cs="Times New Roman"/>
          <w:sz w:val="32"/>
          <w:szCs w:val="32"/>
        </w:rPr>
        <w:t>:支出决算数为</w:t>
      </w:r>
      <w:r>
        <w:rPr>
          <w:rFonts w:hint="eastAsia" w:eastAsia="方正仿宋_GBK" w:cs="Times New Roman"/>
          <w:b/>
          <w:bCs/>
          <w:sz w:val="32"/>
          <w:szCs w:val="32"/>
          <w:lang w:val="en-US" w:eastAsia="zh-CN"/>
        </w:rPr>
        <w:t>186.48</w:t>
      </w:r>
      <w:r>
        <w:rPr>
          <w:rFonts w:hint="default" w:ascii="Times New Roman" w:hAnsi="Times New Roman" w:eastAsia="方正仿宋_GBK" w:cs="Times New Roman"/>
          <w:sz w:val="32"/>
          <w:szCs w:val="32"/>
        </w:rPr>
        <w:t>万元，完成预算</w:t>
      </w:r>
      <w:r>
        <w:rPr>
          <w:rFonts w:hint="default" w:ascii="Times New Roman" w:hAnsi="Times New Roman" w:eastAsia="方正仿宋_GBK" w:cs="Times New Roman"/>
          <w:b/>
          <w:bCs/>
          <w:sz w:val="32"/>
          <w:szCs w:val="32"/>
        </w:rPr>
        <w:t>100%</w:t>
      </w:r>
      <w:r>
        <w:rPr>
          <w:rFonts w:hint="default" w:ascii="Times New Roman" w:hAnsi="Times New Roman" w:eastAsia="方正仿宋_GBK" w:cs="Times New Roman"/>
          <w:sz w:val="32"/>
          <w:szCs w:val="32"/>
        </w:rPr>
        <w:t>，决算数与预算数持平。</w:t>
      </w:r>
    </w:p>
    <w:p w14:paraId="3E3A39D6">
      <w:pPr>
        <w:keepNext w:val="0"/>
        <w:keepLines w:val="0"/>
        <w:pageBreakBefore w:val="0"/>
        <w:widowControl w:val="0"/>
        <w:kinsoku/>
        <w:wordWrap/>
        <w:overflowPunct/>
        <w:topLinePunct w:val="0"/>
        <w:bidi w:val="0"/>
        <w:snapToGrid/>
        <w:spacing w:line="240" w:lineRule="auto"/>
        <w:ind w:firstLine="643"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b/>
          <w:kern w:val="0"/>
          <w:sz w:val="32"/>
          <w:szCs w:val="32"/>
        </w:rPr>
        <w:t>1</w:t>
      </w:r>
      <w:r>
        <w:rPr>
          <w:rFonts w:hint="eastAsia" w:eastAsia="方正仿宋_GBK" w:cs="Times New Roman"/>
          <w:b/>
          <w:kern w:val="0"/>
          <w:sz w:val="32"/>
          <w:szCs w:val="32"/>
          <w:lang w:val="en-US" w:eastAsia="zh-CN"/>
        </w:rPr>
        <w:t>8</w:t>
      </w:r>
      <w:r>
        <w:rPr>
          <w:rFonts w:hint="default" w:ascii="Times New Roman" w:hAnsi="Times New Roman" w:eastAsia="方正仿宋_GBK" w:cs="Times New Roman"/>
          <w:b/>
          <w:kern w:val="0"/>
          <w:sz w:val="32"/>
          <w:szCs w:val="32"/>
        </w:rPr>
        <w:t>.</w:t>
      </w:r>
      <w:r>
        <w:rPr>
          <w:rFonts w:hint="default" w:ascii="Times New Roman" w:hAnsi="Times New Roman" w:eastAsia="方正仿宋_GBK" w:cs="Times New Roman"/>
          <w:b/>
          <w:bCs/>
          <w:sz w:val="32"/>
          <w:szCs w:val="32"/>
        </w:rPr>
        <w:t>一般公共服务（类）纪检监察事务（款）事业运行（项）</w:t>
      </w:r>
      <w:r>
        <w:rPr>
          <w:rFonts w:hint="default" w:ascii="Times New Roman" w:hAnsi="Times New Roman" w:eastAsia="方正仿宋_GBK" w:cs="Times New Roman"/>
          <w:sz w:val="32"/>
          <w:szCs w:val="32"/>
        </w:rPr>
        <w:t>:支出决算数为</w:t>
      </w:r>
      <w:r>
        <w:rPr>
          <w:rFonts w:hint="eastAsia" w:eastAsia="方正仿宋_GBK" w:cs="Times New Roman"/>
          <w:b/>
          <w:bCs/>
          <w:sz w:val="32"/>
          <w:szCs w:val="32"/>
          <w:lang w:val="en-US" w:eastAsia="zh-CN"/>
        </w:rPr>
        <w:t>236.29</w:t>
      </w:r>
      <w:r>
        <w:rPr>
          <w:rFonts w:hint="default" w:ascii="Times New Roman" w:hAnsi="Times New Roman" w:eastAsia="方正仿宋_GBK" w:cs="Times New Roman"/>
          <w:sz w:val="32"/>
          <w:szCs w:val="32"/>
        </w:rPr>
        <w:t>万元，完成预算</w:t>
      </w:r>
      <w:r>
        <w:rPr>
          <w:rFonts w:hint="default" w:ascii="Times New Roman" w:hAnsi="Times New Roman" w:eastAsia="方正仿宋_GBK" w:cs="Times New Roman"/>
          <w:b/>
          <w:bCs/>
          <w:sz w:val="32"/>
          <w:szCs w:val="32"/>
        </w:rPr>
        <w:t>100%</w:t>
      </w:r>
      <w:r>
        <w:rPr>
          <w:rFonts w:hint="default" w:ascii="Times New Roman" w:hAnsi="Times New Roman" w:eastAsia="方正仿宋_GBK" w:cs="Times New Roman"/>
          <w:sz w:val="32"/>
          <w:szCs w:val="32"/>
        </w:rPr>
        <w:t>，决算数与预算数持平。</w:t>
      </w:r>
    </w:p>
    <w:p w14:paraId="1B9EA5E4">
      <w:pPr>
        <w:keepNext w:val="0"/>
        <w:keepLines w:val="0"/>
        <w:pageBreakBefore w:val="0"/>
        <w:widowControl w:val="0"/>
        <w:kinsoku/>
        <w:wordWrap/>
        <w:overflowPunct/>
        <w:topLinePunct w:val="0"/>
        <w:bidi w:val="0"/>
        <w:snapToGrid/>
        <w:spacing w:line="240" w:lineRule="auto"/>
        <w:ind w:firstLine="643" w:firstLineChars="200"/>
        <w:textAlignment w:val="auto"/>
        <w:rPr>
          <w:rFonts w:hint="eastAsia" w:ascii="Times New Roman" w:hAnsi="Times New Roman" w:eastAsia="仿宋_GB2312" w:cs="仿宋_GB2312"/>
          <w:color w:val="auto"/>
          <w:kern w:val="2"/>
          <w:sz w:val="32"/>
          <w:szCs w:val="32"/>
          <w:highlight w:val="none"/>
          <w:lang w:val="en-US" w:eastAsia="zh-CN" w:bidi="ar-SA"/>
        </w:rPr>
      </w:pPr>
      <w:r>
        <w:rPr>
          <w:rFonts w:hint="eastAsia" w:eastAsia="方正仿宋_GBK" w:cs="Times New Roman"/>
          <w:b/>
          <w:bCs/>
          <w:sz w:val="32"/>
          <w:szCs w:val="32"/>
          <w:lang w:val="en-US" w:eastAsia="zh-CN"/>
        </w:rPr>
        <w:t>19</w:t>
      </w:r>
      <w:r>
        <w:rPr>
          <w:rFonts w:hint="default" w:ascii="Times New Roman" w:hAnsi="Times New Roman" w:eastAsia="方正仿宋_GBK" w:cs="Times New Roman"/>
          <w:b/>
          <w:bCs/>
          <w:sz w:val="32"/>
          <w:szCs w:val="32"/>
          <w:lang w:val="en-US" w:eastAsia="zh-CN"/>
        </w:rPr>
        <w:t>.</w:t>
      </w:r>
      <w:r>
        <w:rPr>
          <w:rFonts w:hint="default" w:ascii="Times New Roman" w:hAnsi="Times New Roman" w:eastAsia="方正仿宋_GBK" w:cs="Times New Roman"/>
          <w:b/>
          <w:bCs/>
          <w:sz w:val="32"/>
          <w:szCs w:val="32"/>
        </w:rPr>
        <w:t>卫生健康支出</w:t>
      </w:r>
      <w:r>
        <w:rPr>
          <w:rStyle w:val="19"/>
          <w:rFonts w:hint="default" w:ascii="Times New Roman" w:hAnsi="Times New Roman" w:eastAsia="方正仿宋_GBK" w:cs="Times New Roman"/>
          <w:bCs/>
          <w:sz w:val="32"/>
          <w:szCs w:val="32"/>
        </w:rPr>
        <w:t>（类）行政事业单位医疗（款）事业单位医疗（项）:</w:t>
      </w:r>
      <w:r>
        <w:rPr>
          <w:rStyle w:val="19"/>
          <w:rFonts w:hint="default" w:ascii="Times New Roman" w:hAnsi="Times New Roman" w:eastAsia="方正仿宋_GBK" w:cs="Times New Roman"/>
          <w:b w:val="0"/>
          <w:bCs/>
          <w:sz w:val="32"/>
          <w:szCs w:val="32"/>
        </w:rPr>
        <w:t>支出决算为</w:t>
      </w:r>
      <w:r>
        <w:rPr>
          <w:rStyle w:val="19"/>
          <w:rFonts w:hint="eastAsia" w:eastAsia="方正仿宋_GBK" w:cs="Times New Roman"/>
          <w:b/>
          <w:bCs/>
          <w:sz w:val="32"/>
          <w:szCs w:val="32"/>
          <w:lang w:val="en-US" w:eastAsia="zh-CN"/>
        </w:rPr>
        <w:t>16.45</w:t>
      </w:r>
      <w:r>
        <w:rPr>
          <w:rStyle w:val="19"/>
          <w:rFonts w:hint="default" w:ascii="Times New Roman" w:hAnsi="Times New Roman" w:eastAsia="方正仿宋_GBK" w:cs="Times New Roman"/>
          <w:b w:val="0"/>
          <w:bCs/>
          <w:sz w:val="32"/>
          <w:szCs w:val="32"/>
        </w:rPr>
        <w:t>万元，</w:t>
      </w:r>
      <w:r>
        <w:rPr>
          <w:rFonts w:hint="default" w:ascii="Times New Roman" w:hAnsi="Times New Roman" w:eastAsia="方正仿宋_GBK" w:cs="Times New Roman"/>
          <w:sz w:val="32"/>
          <w:szCs w:val="32"/>
        </w:rPr>
        <w:t>完成预算</w:t>
      </w:r>
      <w:r>
        <w:rPr>
          <w:rFonts w:hint="default" w:ascii="Times New Roman" w:hAnsi="Times New Roman" w:eastAsia="方正仿宋_GBK" w:cs="Times New Roman"/>
          <w:b/>
          <w:bCs/>
          <w:sz w:val="32"/>
          <w:szCs w:val="32"/>
        </w:rPr>
        <w:t>100%</w:t>
      </w:r>
      <w:r>
        <w:rPr>
          <w:rFonts w:hint="default" w:ascii="Times New Roman" w:hAnsi="Times New Roman" w:eastAsia="方正仿宋_GBK" w:cs="Times New Roman"/>
          <w:sz w:val="32"/>
          <w:szCs w:val="32"/>
        </w:rPr>
        <w:t>，决算数与预算数持平。</w:t>
      </w:r>
    </w:p>
    <w:p w14:paraId="1EBB9175">
      <w:pPr>
        <w:tabs>
          <w:tab w:val="right" w:pos="8306"/>
        </w:tabs>
        <w:spacing w:line="600" w:lineRule="exact"/>
        <w:ind w:firstLine="640"/>
        <w:outlineLvl w:val="1"/>
        <w:rPr>
          <w:rStyle w:val="31"/>
          <w:rFonts w:ascii="Times New Roman" w:hAnsi="Times New Roman"/>
          <w:color w:val="auto"/>
          <w:highlight w:val="none"/>
        </w:rPr>
      </w:pPr>
      <w:bookmarkStart w:id="53" w:name="_Toc15396608"/>
      <w:bookmarkStart w:id="54" w:name="_Toc27644"/>
      <w:bookmarkStart w:id="55" w:name="_Toc15377214"/>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1"/>
          <w:rFonts w:hint="eastAsia" w:ascii="Times New Roman" w:hAnsi="Times New Roman" w:eastAsia="黑体"/>
          <w:b w:val="0"/>
          <w:color w:val="auto"/>
          <w:highlight w:val="none"/>
        </w:rPr>
        <w:t>般公共预算财政拨款基本支出决算情况说明</w:t>
      </w:r>
      <w:bookmarkEnd w:id="53"/>
      <w:bookmarkEnd w:id="54"/>
      <w:bookmarkEnd w:id="55"/>
      <w:r>
        <w:rPr>
          <w:rStyle w:val="31"/>
          <w:rFonts w:ascii="Times New Roman" w:hAnsi="Times New Roman" w:eastAsia="黑体"/>
          <w:b w:val="0"/>
          <w:color w:val="auto"/>
          <w:highlight w:val="none"/>
        </w:rPr>
        <w:tab/>
      </w:r>
    </w:p>
    <w:p w14:paraId="741399EF">
      <w:pPr>
        <w:spacing w:line="600" w:lineRule="exact"/>
        <w:ind w:firstLine="640"/>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b/>
          <w:bCs/>
          <w:color w:val="auto"/>
          <w:kern w:val="2"/>
          <w:sz w:val="32"/>
          <w:szCs w:val="32"/>
          <w:highlight w:val="none"/>
          <w:lang w:val="en-US" w:eastAsia="zh-CN" w:bidi="ar-SA"/>
        </w:rPr>
        <w:t>2025</w:t>
      </w:r>
      <w:r>
        <w:rPr>
          <w:rFonts w:hint="default" w:ascii="Times New Roman" w:hAnsi="Times New Roman" w:eastAsia="方正仿宋_GBK" w:cs="Times New Roman"/>
          <w:color w:val="auto"/>
          <w:kern w:val="2"/>
          <w:sz w:val="32"/>
          <w:szCs w:val="32"/>
          <w:highlight w:val="none"/>
          <w:lang w:val="en-US" w:eastAsia="zh-CN" w:bidi="ar-SA"/>
        </w:rPr>
        <w:t>年度一般公共预算财政拨款基本支出</w:t>
      </w:r>
      <w:r>
        <w:rPr>
          <w:rFonts w:hint="default" w:ascii="Times New Roman" w:hAnsi="Times New Roman" w:eastAsia="方正仿宋_GBK" w:cs="Times New Roman"/>
          <w:b/>
          <w:bCs/>
          <w:sz w:val="32"/>
          <w:szCs w:val="32"/>
        </w:rPr>
        <w:t>2771.67</w:t>
      </w:r>
      <w:r>
        <w:rPr>
          <w:rFonts w:hint="default" w:ascii="Times New Roman" w:hAnsi="Times New Roman" w:eastAsia="方正仿宋_GBK" w:cs="Times New Roman"/>
          <w:color w:val="auto"/>
          <w:kern w:val="2"/>
          <w:sz w:val="32"/>
          <w:szCs w:val="32"/>
          <w:highlight w:val="none"/>
          <w:lang w:val="en-US" w:eastAsia="zh-CN" w:bidi="ar-SA"/>
        </w:rPr>
        <w:t>万元，其中：</w:t>
      </w:r>
    </w:p>
    <w:p w14:paraId="2A8A00C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人员经费</w:t>
      </w:r>
      <w:r>
        <w:rPr>
          <w:rFonts w:hint="default" w:ascii="Times New Roman" w:hAnsi="Times New Roman" w:eastAsia="方正仿宋_GBK" w:cs="Times New Roman"/>
          <w:b/>
          <w:bCs/>
          <w:sz w:val="32"/>
          <w:szCs w:val="32"/>
        </w:rPr>
        <w:t>2477.43</w:t>
      </w:r>
      <w:r>
        <w:rPr>
          <w:rFonts w:hint="default" w:ascii="Times New Roman" w:hAnsi="Times New Roman" w:eastAsia="方正仿宋_GBK" w:cs="Times New Roman"/>
          <w:color w:val="auto"/>
          <w:kern w:val="2"/>
          <w:sz w:val="32"/>
          <w:szCs w:val="32"/>
          <w:highlight w:val="none"/>
          <w:lang w:val="en-US" w:eastAsia="zh-CN" w:bidi="ar-SA"/>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default" w:ascii="Times New Roman" w:hAnsi="Times New Roman" w:eastAsia="方正仿宋_GBK" w:cs="Times New Roman"/>
          <w:color w:val="auto"/>
          <w:kern w:val="2"/>
          <w:sz w:val="32"/>
          <w:szCs w:val="32"/>
          <w:highlight w:val="none"/>
          <w:lang w:val="en-US" w:eastAsia="zh-CN" w:bidi="ar-SA"/>
        </w:rPr>
        <w:br w:type="textWrapping"/>
      </w:r>
      <w:r>
        <w:rPr>
          <w:rFonts w:hint="default" w:ascii="Times New Roman" w:hAnsi="Times New Roman" w:eastAsia="方正仿宋_GBK" w:cs="Times New Roman"/>
          <w:color w:val="auto"/>
          <w:kern w:val="2"/>
          <w:sz w:val="32"/>
          <w:szCs w:val="32"/>
          <w:highlight w:val="none"/>
          <w:lang w:val="en-US" w:eastAsia="zh-CN" w:bidi="ar-SA"/>
        </w:rPr>
        <w:t>　　公用经费</w:t>
      </w:r>
      <w:r>
        <w:rPr>
          <w:rFonts w:hint="default" w:ascii="Times New Roman" w:hAnsi="Times New Roman" w:eastAsia="方正仿宋_GBK" w:cs="Times New Roman"/>
          <w:b/>
          <w:bCs/>
          <w:sz w:val="32"/>
          <w:szCs w:val="32"/>
        </w:rPr>
        <w:t>294.24</w:t>
      </w:r>
      <w:r>
        <w:rPr>
          <w:rFonts w:hint="default" w:ascii="Times New Roman" w:hAnsi="Times New Roman" w:eastAsia="方正仿宋_GBK" w:cs="Times New Roman"/>
          <w:color w:val="auto"/>
          <w:kern w:val="2"/>
          <w:sz w:val="32"/>
          <w:szCs w:val="32"/>
          <w:highlight w:val="none"/>
          <w:lang w:val="en-US" w:eastAsia="zh-CN" w:bidi="ar-SA"/>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42C9704D">
      <w:pPr>
        <w:spacing w:line="600" w:lineRule="exact"/>
        <w:ind w:firstLine="640"/>
        <w:outlineLvl w:val="1"/>
        <w:rPr>
          <w:rStyle w:val="31"/>
          <w:rFonts w:ascii="Times New Roman" w:hAnsi="Times New Roman" w:eastAsia="黑体"/>
          <w:b w:val="0"/>
          <w:color w:val="auto"/>
          <w:highlight w:val="none"/>
        </w:rPr>
      </w:pPr>
      <w:bookmarkStart w:id="56" w:name="_Toc15377215"/>
      <w:bookmarkStart w:id="57" w:name="_Toc24759"/>
      <w:bookmarkStart w:id="58" w:name="_Toc15396609"/>
      <w:r>
        <w:rPr>
          <w:rFonts w:hint="eastAsia" w:ascii="Times New Roman" w:hAnsi="Times New Roman" w:eastAsia="黑体"/>
          <w:color w:val="auto"/>
          <w:sz w:val="32"/>
          <w:szCs w:val="32"/>
          <w:highlight w:val="none"/>
        </w:rPr>
        <w:t>七、</w:t>
      </w:r>
      <w:r>
        <w:rPr>
          <w:rStyle w:val="31"/>
          <w:rFonts w:hint="eastAsia" w:ascii="Times New Roman" w:hAnsi="Times New Roman" w:eastAsia="黑体"/>
          <w:b w:val="0"/>
          <w:color w:val="auto"/>
          <w:highlight w:val="none"/>
        </w:rPr>
        <w:t>财政拨款</w:t>
      </w:r>
      <w:r>
        <w:rPr>
          <w:rStyle w:val="31"/>
          <w:rFonts w:hint="eastAsia" w:ascii="Times New Roman" w:hAnsi="Times New Roman" w:eastAsia="黑体"/>
          <w:color w:val="auto"/>
          <w:highlight w:val="none"/>
        </w:rPr>
        <w:t>“</w:t>
      </w:r>
      <w:r>
        <w:rPr>
          <w:rStyle w:val="31"/>
          <w:rFonts w:hint="eastAsia" w:ascii="Times New Roman" w:hAnsi="Times New Roman" w:eastAsia="黑体"/>
          <w:b w:val="0"/>
          <w:color w:val="auto"/>
          <w:highlight w:val="none"/>
        </w:rPr>
        <w:t>三公”经费支出决算情况说明</w:t>
      </w:r>
      <w:bookmarkEnd w:id="56"/>
      <w:bookmarkEnd w:id="57"/>
      <w:bookmarkEnd w:id="58"/>
    </w:p>
    <w:p w14:paraId="303B2763">
      <w:pPr>
        <w:spacing w:line="600" w:lineRule="exact"/>
        <w:ind w:firstLine="643" w:firstLineChars="200"/>
        <w:outlineLvl w:val="9"/>
        <w:rPr>
          <w:rFonts w:hint="eastAsia" w:ascii="方正楷体_GBK" w:hAnsi="方正楷体_GBK" w:eastAsia="方正楷体_GBK" w:cs="方正楷体_GBK"/>
          <w:b/>
          <w:color w:val="auto"/>
          <w:sz w:val="32"/>
          <w:szCs w:val="32"/>
          <w:highlight w:val="none"/>
        </w:rPr>
      </w:pPr>
      <w:bookmarkStart w:id="59" w:name="_Toc15377216"/>
      <w:r>
        <w:rPr>
          <w:rFonts w:hint="eastAsia" w:ascii="方正楷体_GBK" w:hAnsi="方正楷体_GBK" w:eastAsia="方正楷体_GBK" w:cs="方正楷体_GBK"/>
          <w:b/>
          <w:color w:val="auto"/>
          <w:sz w:val="32"/>
          <w:szCs w:val="32"/>
          <w:highlight w:val="none"/>
        </w:rPr>
        <w:t>（一）财政拨款“三公”经费支出决算总体情况说明</w:t>
      </w:r>
      <w:bookmarkEnd w:id="59"/>
    </w:p>
    <w:p w14:paraId="3B68A46E">
      <w:pPr>
        <w:spacing w:line="600" w:lineRule="exact"/>
        <w:ind w:firstLine="640"/>
        <w:rPr>
          <w:rFonts w:hint="default" w:ascii="Times New Roman" w:hAnsi="Times New Roman" w:eastAsia="方正仿宋_GBK" w:cs="Times New Roman"/>
          <w:b/>
          <w:bCs/>
          <w:color w:val="auto"/>
          <w:kern w:val="2"/>
          <w:sz w:val="32"/>
          <w:szCs w:val="32"/>
          <w:highlight w:val="none"/>
          <w:lang w:val="en-US" w:eastAsia="zh-CN" w:bidi="ar-SA"/>
        </w:rPr>
      </w:pPr>
      <w:r>
        <w:rPr>
          <w:rFonts w:hint="default" w:ascii="Times New Roman" w:hAnsi="Times New Roman" w:eastAsia="方正仿宋_GBK" w:cs="Times New Roman"/>
          <w:b/>
          <w:bCs/>
          <w:color w:val="auto"/>
          <w:kern w:val="2"/>
          <w:sz w:val="32"/>
          <w:szCs w:val="32"/>
          <w:highlight w:val="none"/>
          <w:lang w:val="en-US" w:eastAsia="zh-CN" w:bidi="ar-SA"/>
        </w:rPr>
        <w:t>2025</w:t>
      </w:r>
      <w:r>
        <w:rPr>
          <w:rFonts w:hint="default" w:ascii="Times New Roman" w:hAnsi="Times New Roman" w:eastAsia="方正仿宋_GBK" w:cs="Times New Roman"/>
          <w:color w:val="auto"/>
          <w:kern w:val="2"/>
          <w:sz w:val="32"/>
          <w:szCs w:val="32"/>
          <w:highlight w:val="none"/>
          <w:lang w:val="en-US" w:eastAsia="zh-CN" w:bidi="ar-SA"/>
        </w:rPr>
        <w:t>年度财政拨款“三公”经费支出决算为</w:t>
      </w:r>
      <w:r>
        <w:rPr>
          <w:rFonts w:hint="default" w:ascii="Times New Roman" w:hAnsi="Times New Roman" w:eastAsia="方正仿宋_GBK" w:cs="Times New Roman"/>
          <w:b/>
          <w:bCs/>
          <w:sz w:val="32"/>
          <w:szCs w:val="32"/>
        </w:rPr>
        <w:t>26.12</w:t>
      </w:r>
      <w:r>
        <w:rPr>
          <w:rFonts w:hint="default" w:ascii="Times New Roman" w:hAnsi="Times New Roman" w:eastAsia="方正仿宋_GBK" w:cs="Times New Roman"/>
          <w:color w:val="auto"/>
          <w:kern w:val="2"/>
          <w:sz w:val="32"/>
          <w:szCs w:val="32"/>
          <w:highlight w:val="none"/>
          <w:lang w:val="en-US" w:eastAsia="zh-CN" w:bidi="ar-SA"/>
        </w:rPr>
        <w:t>万元，完成预算</w:t>
      </w:r>
      <w:r>
        <w:rPr>
          <w:rFonts w:hint="default" w:ascii="Times New Roman" w:hAnsi="Times New Roman" w:eastAsia="方正仿宋_GBK" w:cs="Times New Roman"/>
          <w:b/>
          <w:bCs/>
          <w:sz w:val="32"/>
          <w:szCs w:val="32"/>
        </w:rPr>
        <w:t>100</w:t>
      </w:r>
      <w:r>
        <w:rPr>
          <w:rFonts w:hint="default" w:ascii="Times New Roman" w:hAnsi="Times New Roman" w:eastAsia="方正仿宋_GBK" w:cs="Times New Roman"/>
          <w:b/>
          <w:bCs/>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，较上年度增加</w:t>
      </w:r>
      <w:r>
        <w:rPr>
          <w:rFonts w:hint="default" w:ascii="Times New Roman" w:hAnsi="Times New Roman" w:eastAsia="方正仿宋_GBK" w:cs="Times New Roman"/>
          <w:b/>
          <w:bCs/>
          <w:color w:val="auto"/>
          <w:kern w:val="2"/>
          <w:sz w:val="32"/>
          <w:szCs w:val="32"/>
          <w:highlight w:val="none"/>
          <w:lang w:val="en-US" w:eastAsia="zh-CN" w:bidi="ar-SA"/>
        </w:rPr>
        <w:t>0.55</w:t>
      </w:r>
      <w:r>
        <w:rPr>
          <w:rFonts w:hint="default" w:ascii="Times New Roman" w:hAnsi="Times New Roman" w:eastAsia="方正仿宋_GBK" w:cs="Times New Roman"/>
          <w:color w:val="auto"/>
          <w:kern w:val="2"/>
          <w:sz w:val="32"/>
          <w:szCs w:val="32"/>
          <w:highlight w:val="none"/>
          <w:lang w:val="en-US" w:eastAsia="zh-CN" w:bidi="ar-SA"/>
        </w:rPr>
        <w:t>万元，增长</w:t>
      </w:r>
      <w:r>
        <w:rPr>
          <w:rFonts w:hint="default" w:ascii="Times New Roman" w:hAnsi="Times New Roman" w:eastAsia="方正仿宋_GBK" w:cs="Times New Roman"/>
          <w:b/>
          <w:bCs/>
          <w:color w:val="auto"/>
          <w:kern w:val="2"/>
          <w:sz w:val="32"/>
          <w:szCs w:val="32"/>
          <w:highlight w:val="none"/>
          <w:lang w:val="en-US" w:eastAsia="zh-CN" w:bidi="ar-SA"/>
        </w:rPr>
        <w:t>2.15%</w:t>
      </w:r>
      <w:r>
        <w:rPr>
          <w:rFonts w:hint="default" w:ascii="Times New Roman" w:hAnsi="Times New Roman" w:eastAsia="方正仿宋_GBK" w:cs="Times New Roman"/>
          <w:color w:val="auto"/>
          <w:kern w:val="2"/>
          <w:sz w:val="32"/>
          <w:szCs w:val="32"/>
          <w:highlight w:val="none"/>
          <w:lang w:val="en-US" w:eastAsia="zh-CN" w:bidi="ar-SA"/>
        </w:rPr>
        <w:t>。决算数与预算数持平。</w:t>
      </w:r>
    </w:p>
    <w:p w14:paraId="4B8229C0">
      <w:pPr>
        <w:spacing w:line="600" w:lineRule="exact"/>
        <w:ind w:firstLine="643" w:firstLineChars="200"/>
        <w:outlineLvl w:val="9"/>
        <w:rPr>
          <w:rFonts w:hint="eastAsia" w:ascii="方正楷体_GBK" w:hAnsi="方正楷体_GBK" w:eastAsia="方正楷体_GBK" w:cs="方正楷体_GBK"/>
          <w:b/>
          <w:color w:val="auto"/>
          <w:sz w:val="32"/>
          <w:szCs w:val="32"/>
          <w:highlight w:val="none"/>
        </w:rPr>
      </w:pPr>
      <w:bookmarkStart w:id="60" w:name="_Toc15377217"/>
      <w:r>
        <w:rPr>
          <w:rFonts w:hint="eastAsia" w:ascii="方正楷体_GBK" w:hAnsi="方正楷体_GBK" w:eastAsia="方正楷体_GBK" w:cs="方正楷体_GBK"/>
          <w:b/>
          <w:color w:val="auto"/>
          <w:sz w:val="32"/>
          <w:szCs w:val="32"/>
          <w:highlight w:val="none"/>
        </w:rPr>
        <w:t>（二）财政拨款“三公”经费支出决算具体情况说明</w:t>
      </w:r>
      <w:bookmarkEnd w:id="60"/>
    </w:p>
    <w:p w14:paraId="03BEDBD4">
      <w:pPr>
        <w:spacing w:line="600" w:lineRule="exact"/>
        <w:ind w:firstLine="640"/>
        <w:rPr>
          <w:rFonts w:hint="default" w:ascii="Times New Roman" w:hAnsi="Times New Roman" w:eastAsia="方正仿宋_GBK" w:cs="Times New Roman"/>
          <w:color w:val="auto"/>
          <w:kern w:val="2"/>
          <w:sz w:val="32"/>
          <w:szCs w:val="32"/>
          <w:highlight w:val="none"/>
          <w:lang w:val="en-US" w:eastAsia="zh-CN" w:bidi="ar-SA"/>
        </w:rPr>
      </w:pPr>
      <w:bookmarkStart w:id="61" w:name="_Toc15377218"/>
      <w:bookmarkStart w:id="62" w:name="_Toc15396610"/>
      <w:r>
        <w:rPr>
          <w:rFonts w:hint="default" w:ascii="Times New Roman" w:hAnsi="Times New Roman" w:eastAsia="方正仿宋_GBK" w:cs="Times New Roman"/>
          <w:b/>
          <w:bCs/>
          <w:color w:val="auto"/>
          <w:kern w:val="2"/>
          <w:sz w:val="32"/>
          <w:szCs w:val="32"/>
          <w:highlight w:val="none"/>
          <w:lang w:val="en-US" w:eastAsia="zh-CN" w:bidi="ar-SA"/>
        </w:rPr>
        <w:t>2025</w:t>
      </w:r>
      <w:r>
        <w:rPr>
          <w:rFonts w:hint="default" w:ascii="Times New Roman" w:hAnsi="Times New Roman" w:eastAsia="方正仿宋_GBK" w:cs="Times New Roman"/>
          <w:color w:val="auto"/>
          <w:kern w:val="2"/>
          <w:sz w:val="32"/>
          <w:szCs w:val="32"/>
          <w:highlight w:val="none"/>
          <w:lang w:val="en-US" w:eastAsia="zh-CN" w:bidi="ar-SA"/>
        </w:rPr>
        <w:t>年度财政拨款“三公”经费支出决算中，因公出国（境）费支出决算</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color w:val="auto"/>
          <w:kern w:val="2"/>
          <w:sz w:val="32"/>
          <w:szCs w:val="32"/>
          <w:highlight w:val="none"/>
          <w:lang w:val="en-US" w:eastAsia="zh-CN" w:bidi="ar-SA"/>
        </w:rPr>
        <w:t>万元，占</w:t>
      </w:r>
      <w:r>
        <w:rPr>
          <w:rFonts w:hint="default" w:ascii="Times New Roman" w:hAnsi="Times New Roman" w:eastAsia="方正仿宋_GBK" w:cs="Times New Roman"/>
          <w:b/>
          <w:bCs/>
          <w:color w:val="auto"/>
          <w:kern w:val="2"/>
          <w:sz w:val="32"/>
          <w:szCs w:val="32"/>
          <w:highlight w:val="none"/>
          <w:lang w:val="en-US" w:eastAsia="zh-CN" w:bidi="ar-SA"/>
        </w:rPr>
        <w:t>0%</w:t>
      </w:r>
      <w:r>
        <w:rPr>
          <w:rFonts w:hint="default" w:ascii="Times New Roman" w:hAnsi="Times New Roman" w:eastAsia="方正仿宋_GBK" w:cs="Times New Roman"/>
          <w:color w:val="auto"/>
          <w:kern w:val="2"/>
          <w:sz w:val="32"/>
          <w:szCs w:val="32"/>
          <w:highlight w:val="none"/>
          <w:lang w:val="en-US" w:eastAsia="zh-CN" w:bidi="ar-SA"/>
        </w:rPr>
        <w:t>；公务用车购置及运行维护费支出决算</w:t>
      </w:r>
      <w:r>
        <w:rPr>
          <w:rFonts w:hint="default" w:ascii="Times New Roman" w:hAnsi="Times New Roman" w:eastAsia="方正仿宋_GBK" w:cs="Times New Roman"/>
          <w:b/>
          <w:bCs/>
          <w:sz w:val="32"/>
          <w:szCs w:val="32"/>
        </w:rPr>
        <w:t>23.7</w:t>
      </w:r>
      <w:r>
        <w:rPr>
          <w:rFonts w:hint="default" w:ascii="Times New Roman" w:hAnsi="Times New Roman" w:eastAsia="方正仿宋_GBK" w:cs="Times New Roman"/>
          <w:b/>
          <w:bCs/>
          <w:sz w:val="32"/>
          <w:szCs w:val="32"/>
          <w:lang w:val="en-US" w:eastAsia="zh-CN"/>
        </w:rPr>
        <w:t>1</w:t>
      </w:r>
      <w:r>
        <w:rPr>
          <w:rFonts w:hint="default" w:ascii="Times New Roman" w:hAnsi="Times New Roman" w:eastAsia="方正仿宋_GBK" w:cs="Times New Roman"/>
          <w:color w:val="auto"/>
          <w:kern w:val="2"/>
          <w:sz w:val="32"/>
          <w:szCs w:val="32"/>
          <w:highlight w:val="none"/>
          <w:lang w:val="en-US" w:eastAsia="zh-CN" w:bidi="ar-SA"/>
        </w:rPr>
        <w:t>万元，占</w:t>
      </w:r>
      <w:r>
        <w:rPr>
          <w:rFonts w:hint="default" w:ascii="Times New Roman" w:hAnsi="Times New Roman" w:eastAsia="方正仿宋_GBK" w:cs="Times New Roman"/>
          <w:b/>
          <w:bCs/>
          <w:color w:val="auto"/>
          <w:kern w:val="2"/>
          <w:sz w:val="32"/>
          <w:szCs w:val="32"/>
          <w:highlight w:val="none"/>
          <w:lang w:val="en-US" w:eastAsia="zh-CN" w:bidi="ar-SA"/>
        </w:rPr>
        <w:t>90.77%</w:t>
      </w:r>
      <w:r>
        <w:rPr>
          <w:rFonts w:hint="default" w:ascii="Times New Roman" w:hAnsi="Times New Roman" w:eastAsia="方正仿宋_GBK" w:cs="Times New Roman"/>
          <w:color w:val="auto"/>
          <w:kern w:val="2"/>
          <w:sz w:val="32"/>
          <w:szCs w:val="32"/>
          <w:highlight w:val="none"/>
          <w:lang w:val="en-US" w:eastAsia="zh-CN" w:bidi="ar-SA"/>
        </w:rPr>
        <w:t>；公务接待费支出决算</w:t>
      </w:r>
      <w:r>
        <w:rPr>
          <w:rFonts w:hint="default" w:ascii="Times New Roman" w:hAnsi="Times New Roman" w:eastAsia="方正仿宋_GBK" w:cs="Times New Roman"/>
          <w:b/>
          <w:bCs/>
          <w:sz w:val="32"/>
          <w:szCs w:val="32"/>
        </w:rPr>
        <w:t>2.41</w:t>
      </w:r>
      <w:r>
        <w:rPr>
          <w:rFonts w:hint="default" w:ascii="Times New Roman" w:hAnsi="Times New Roman" w:eastAsia="方正仿宋_GBK" w:cs="Times New Roman"/>
          <w:color w:val="auto"/>
          <w:kern w:val="2"/>
          <w:sz w:val="32"/>
          <w:szCs w:val="32"/>
          <w:highlight w:val="none"/>
          <w:lang w:val="en-US" w:eastAsia="zh-CN" w:bidi="ar-SA"/>
        </w:rPr>
        <w:t>万元，占</w:t>
      </w:r>
      <w:r>
        <w:rPr>
          <w:rFonts w:hint="default" w:ascii="Times New Roman" w:hAnsi="Times New Roman" w:eastAsia="方正仿宋_GBK" w:cs="Times New Roman"/>
          <w:b/>
          <w:bCs/>
          <w:color w:val="auto"/>
          <w:kern w:val="2"/>
          <w:sz w:val="32"/>
          <w:szCs w:val="32"/>
          <w:highlight w:val="none"/>
          <w:lang w:val="en-US" w:eastAsia="zh-CN" w:bidi="ar-SA"/>
        </w:rPr>
        <w:t>9.23%</w:t>
      </w:r>
      <w:r>
        <w:rPr>
          <w:rFonts w:hint="default" w:ascii="Times New Roman" w:hAnsi="Times New Roman" w:eastAsia="方正仿宋_GBK" w:cs="Times New Roman"/>
          <w:color w:val="auto"/>
          <w:kern w:val="2"/>
          <w:sz w:val="32"/>
          <w:szCs w:val="32"/>
          <w:highlight w:val="none"/>
          <w:lang w:val="en-US" w:eastAsia="zh-CN" w:bidi="ar-SA"/>
        </w:rPr>
        <w:t>。具体情况如下：</w:t>
      </w:r>
    </w:p>
    <w:p w14:paraId="60D16014">
      <w:pPr>
        <w:spacing w:line="600" w:lineRule="exact"/>
        <w:ind w:firstLine="640"/>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（图7：财政拨款“三公”经费支出结构）（饼状图）</w:t>
      </w:r>
    </w:p>
    <w:p w14:paraId="27CBA2FB">
      <w:pPr>
        <w:pStyle w:val="21"/>
        <w:jc w:val="center"/>
        <w:outlineLvl w:val="9"/>
        <w:rPr>
          <w:rFonts w:hint="eastAsia"/>
          <w:lang w:val="en-US" w:eastAsia="zh-CN"/>
        </w:rPr>
      </w:pPr>
      <w:r>
        <w:rPr>
          <w:rFonts w:hint="eastAsia" w:eastAsia="仿宋"/>
        </w:rPr>
        <w:drawing>
          <wp:inline distT="0" distB="0" distL="114300" distR="114300">
            <wp:extent cx="4192270" cy="1797685"/>
            <wp:effectExtent l="0" t="0" r="11430" b="31115"/>
            <wp:docPr id="3" name="图表 3" descr="7b0a202020202263686172745265734964223a202232303437313134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443AEDF">
      <w:pPr>
        <w:spacing w:line="240" w:lineRule="auto"/>
        <w:ind w:firstLine="640"/>
        <w:rPr>
          <w:rFonts w:hint="default" w:ascii="Times New Roman" w:hAnsi="Times New Roman" w:eastAsia="方正仿宋_GBK" w:cs="Times New Roman"/>
          <w:b/>
          <w:sz w:val="33"/>
          <w:szCs w:val="33"/>
        </w:rPr>
      </w:pPr>
      <w:r>
        <w:rPr>
          <w:rFonts w:hint="default" w:ascii="Times New Roman" w:hAnsi="Times New Roman" w:eastAsia="方正仿宋_GBK" w:cs="Times New Roman"/>
          <w:b/>
          <w:sz w:val="33"/>
          <w:szCs w:val="33"/>
        </w:rPr>
        <w:t>1.因公出国（境）经费支出0</w:t>
      </w:r>
      <w:r>
        <w:rPr>
          <w:rFonts w:hint="default" w:ascii="Times New Roman" w:hAnsi="Times New Roman" w:eastAsia="方正仿宋_GBK" w:cs="Times New Roman"/>
          <w:sz w:val="33"/>
          <w:szCs w:val="33"/>
        </w:rPr>
        <w:t>万元，</w:t>
      </w:r>
      <w:r>
        <w:rPr>
          <w:rStyle w:val="19"/>
          <w:rFonts w:hint="default" w:ascii="Times New Roman" w:hAnsi="Times New Roman" w:eastAsia="方正仿宋_GBK" w:cs="Times New Roman"/>
          <w:b w:val="0"/>
          <w:bCs/>
          <w:sz w:val="33"/>
          <w:szCs w:val="33"/>
        </w:rPr>
        <w:t>完成预算</w:t>
      </w:r>
      <w:r>
        <w:rPr>
          <w:rStyle w:val="19"/>
          <w:rFonts w:hint="default" w:ascii="Times New Roman" w:hAnsi="Times New Roman" w:eastAsia="方正仿宋_GBK" w:cs="Times New Roman"/>
          <w:bCs/>
          <w:sz w:val="33"/>
          <w:szCs w:val="33"/>
        </w:rPr>
        <w:t>0</w:t>
      </w:r>
      <w:r>
        <w:rPr>
          <w:rStyle w:val="19"/>
          <w:rFonts w:hint="default" w:ascii="Times New Roman" w:hAnsi="Times New Roman" w:eastAsia="方正仿宋_GBK" w:cs="Times New Roman"/>
          <w:b w:val="0"/>
          <w:bCs/>
          <w:sz w:val="33"/>
          <w:szCs w:val="33"/>
        </w:rPr>
        <w:t>%。</w:t>
      </w:r>
      <w:r>
        <w:rPr>
          <w:rFonts w:hint="default" w:ascii="Times New Roman" w:hAnsi="Times New Roman" w:eastAsia="方正仿宋_GBK" w:cs="Times New Roman"/>
          <w:sz w:val="33"/>
          <w:szCs w:val="33"/>
        </w:rPr>
        <w:t>全年安排因公出国（境）团组</w:t>
      </w:r>
      <w:r>
        <w:rPr>
          <w:rFonts w:hint="default" w:ascii="Times New Roman" w:hAnsi="Times New Roman" w:eastAsia="方正仿宋_GBK" w:cs="Times New Roman"/>
          <w:b/>
          <w:sz w:val="33"/>
          <w:szCs w:val="33"/>
        </w:rPr>
        <w:t>0</w:t>
      </w:r>
      <w:r>
        <w:rPr>
          <w:rFonts w:hint="default" w:ascii="Times New Roman" w:hAnsi="Times New Roman" w:eastAsia="方正仿宋_GBK" w:cs="Times New Roman"/>
          <w:sz w:val="33"/>
          <w:szCs w:val="33"/>
        </w:rPr>
        <w:t>次，出国（境）</w:t>
      </w:r>
      <w:r>
        <w:rPr>
          <w:rFonts w:hint="default" w:ascii="Times New Roman" w:hAnsi="Times New Roman" w:eastAsia="方正仿宋_GBK" w:cs="Times New Roman"/>
          <w:b/>
          <w:sz w:val="33"/>
          <w:szCs w:val="33"/>
        </w:rPr>
        <w:t>0</w:t>
      </w:r>
      <w:r>
        <w:rPr>
          <w:rFonts w:hint="default" w:ascii="Times New Roman" w:hAnsi="Times New Roman" w:eastAsia="方正仿宋_GBK" w:cs="Times New Roman"/>
          <w:sz w:val="33"/>
          <w:szCs w:val="33"/>
        </w:rPr>
        <w:t>人。因公出国（境）支出决算比</w:t>
      </w:r>
      <w:r>
        <w:rPr>
          <w:rFonts w:hint="default" w:ascii="Times New Roman" w:hAnsi="Times New Roman" w:eastAsia="方正仿宋_GBK" w:cs="Times New Roman"/>
          <w:b/>
          <w:bCs/>
          <w:sz w:val="33"/>
          <w:szCs w:val="33"/>
        </w:rPr>
        <w:t>202</w:t>
      </w:r>
      <w:r>
        <w:rPr>
          <w:rFonts w:hint="eastAsia" w:eastAsia="方正仿宋_GBK" w:cs="Times New Roman"/>
          <w:b/>
          <w:bCs/>
          <w:sz w:val="33"/>
          <w:szCs w:val="33"/>
          <w:lang w:val="en-US" w:eastAsia="zh-CN"/>
        </w:rPr>
        <w:t>4</w:t>
      </w:r>
      <w:r>
        <w:rPr>
          <w:rFonts w:hint="default" w:ascii="Times New Roman" w:hAnsi="Times New Roman" w:eastAsia="方正仿宋_GBK" w:cs="Times New Roman"/>
          <w:sz w:val="33"/>
          <w:szCs w:val="33"/>
        </w:rPr>
        <w:t>年增加/减少</w:t>
      </w:r>
      <w:r>
        <w:rPr>
          <w:rFonts w:hint="default" w:ascii="Times New Roman" w:hAnsi="Times New Roman" w:eastAsia="方正仿宋_GBK" w:cs="Times New Roman"/>
          <w:b/>
          <w:bCs/>
          <w:sz w:val="33"/>
          <w:szCs w:val="33"/>
          <w:lang w:eastAsia="zh-CN"/>
        </w:rPr>
        <w:t>0</w:t>
      </w:r>
      <w:r>
        <w:rPr>
          <w:rFonts w:hint="default" w:ascii="Times New Roman" w:hAnsi="Times New Roman" w:eastAsia="方正仿宋_GBK" w:cs="Times New Roman"/>
          <w:sz w:val="33"/>
          <w:szCs w:val="33"/>
        </w:rPr>
        <w:t>万元，增长/下降</w:t>
      </w:r>
      <w:r>
        <w:rPr>
          <w:rFonts w:hint="default" w:ascii="Times New Roman" w:hAnsi="Times New Roman" w:eastAsia="方正仿宋_GBK" w:cs="Times New Roman"/>
          <w:b/>
          <w:bCs/>
          <w:sz w:val="33"/>
          <w:szCs w:val="33"/>
          <w:lang w:eastAsia="zh-CN"/>
        </w:rPr>
        <w:t>0</w:t>
      </w:r>
      <w:r>
        <w:rPr>
          <w:rFonts w:hint="default" w:ascii="Times New Roman" w:hAnsi="Times New Roman" w:eastAsia="方正仿宋_GBK" w:cs="Times New Roman"/>
          <w:b/>
          <w:bCs/>
          <w:sz w:val="33"/>
          <w:szCs w:val="33"/>
        </w:rPr>
        <w:t>%</w:t>
      </w:r>
      <w:r>
        <w:rPr>
          <w:rFonts w:hint="default" w:ascii="Times New Roman" w:hAnsi="Times New Roman" w:eastAsia="方正仿宋_GBK" w:cs="Times New Roman"/>
          <w:sz w:val="33"/>
          <w:szCs w:val="33"/>
        </w:rPr>
        <w:t>。主要原因是无因公出国（境）支出。</w:t>
      </w:r>
    </w:p>
    <w:p w14:paraId="77C81466">
      <w:pPr>
        <w:spacing w:line="240" w:lineRule="auto"/>
        <w:ind w:firstLine="640"/>
        <w:rPr>
          <w:rFonts w:hint="default" w:ascii="Times New Roman" w:hAnsi="Times New Roman" w:eastAsia="方正仿宋_GBK" w:cs="Times New Roman"/>
          <w:b/>
          <w:sz w:val="33"/>
          <w:szCs w:val="33"/>
        </w:rPr>
      </w:pPr>
      <w:r>
        <w:rPr>
          <w:rFonts w:hint="default" w:ascii="Times New Roman" w:hAnsi="Times New Roman" w:eastAsia="方正仿宋_GBK" w:cs="Times New Roman"/>
          <w:b/>
          <w:sz w:val="33"/>
          <w:szCs w:val="33"/>
        </w:rPr>
        <w:t>2.公务用车购置及运行维护费支出</w:t>
      </w:r>
      <w:r>
        <w:rPr>
          <w:rFonts w:hint="eastAsia" w:ascii="Times New Roman" w:hAnsi="Times New Roman" w:eastAsia="方正仿宋_GBK" w:cs="Times New Roman"/>
          <w:b/>
          <w:sz w:val="33"/>
          <w:szCs w:val="33"/>
          <w:lang w:val="en-US" w:eastAsia="zh-CN"/>
        </w:rPr>
        <w:t>23.</w:t>
      </w:r>
      <w:r>
        <w:rPr>
          <w:rFonts w:hint="eastAsia" w:eastAsia="方正仿宋_GBK" w:cs="Times New Roman"/>
          <w:b/>
          <w:sz w:val="33"/>
          <w:szCs w:val="33"/>
          <w:lang w:val="en-US" w:eastAsia="zh-CN"/>
        </w:rPr>
        <w:t>71</w:t>
      </w:r>
      <w:r>
        <w:rPr>
          <w:rFonts w:hint="default" w:ascii="Times New Roman" w:hAnsi="Times New Roman" w:eastAsia="方正仿宋_GBK" w:cs="Times New Roman"/>
          <w:sz w:val="33"/>
          <w:szCs w:val="33"/>
        </w:rPr>
        <w:t>万元,</w:t>
      </w:r>
      <w:r>
        <w:rPr>
          <w:rStyle w:val="19"/>
          <w:rFonts w:hint="default" w:ascii="Times New Roman" w:hAnsi="Times New Roman" w:eastAsia="方正仿宋_GBK" w:cs="Times New Roman"/>
          <w:b w:val="0"/>
          <w:bCs/>
          <w:sz w:val="33"/>
          <w:szCs w:val="33"/>
        </w:rPr>
        <w:t>完成预算</w:t>
      </w:r>
      <w:r>
        <w:rPr>
          <w:rStyle w:val="19"/>
          <w:rFonts w:hint="default" w:ascii="Times New Roman" w:hAnsi="Times New Roman" w:eastAsia="方正仿宋_GBK" w:cs="Times New Roman"/>
          <w:bCs/>
          <w:sz w:val="33"/>
          <w:szCs w:val="33"/>
        </w:rPr>
        <w:t>100</w:t>
      </w:r>
      <w:r>
        <w:rPr>
          <w:rStyle w:val="19"/>
          <w:rFonts w:hint="default" w:ascii="Times New Roman" w:hAnsi="Times New Roman" w:eastAsia="方正仿宋_GBK" w:cs="Times New Roman"/>
          <w:b/>
          <w:bCs w:val="0"/>
          <w:sz w:val="33"/>
          <w:szCs w:val="33"/>
        </w:rPr>
        <w:t>%</w:t>
      </w:r>
      <w:r>
        <w:rPr>
          <w:rStyle w:val="19"/>
          <w:rFonts w:hint="default" w:ascii="Times New Roman" w:hAnsi="Times New Roman" w:eastAsia="方正仿宋_GBK" w:cs="Times New Roman"/>
          <w:b w:val="0"/>
          <w:bCs/>
          <w:sz w:val="33"/>
          <w:szCs w:val="33"/>
        </w:rPr>
        <w:t>。</w:t>
      </w:r>
      <w:r>
        <w:rPr>
          <w:rFonts w:hint="default" w:ascii="Times New Roman" w:hAnsi="Times New Roman" w:eastAsia="方正仿宋_GBK" w:cs="Times New Roman"/>
          <w:sz w:val="33"/>
          <w:szCs w:val="33"/>
        </w:rPr>
        <w:t>公务用车购置及运行维护费支出决算比</w:t>
      </w:r>
      <w:r>
        <w:rPr>
          <w:rFonts w:hint="eastAsia" w:eastAsia="方正仿宋_GBK" w:cs="Times New Roman"/>
          <w:b/>
          <w:bCs/>
          <w:sz w:val="33"/>
          <w:szCs w:val="33"/>
          <w:lang w:val="en-US" w:eastAsia="zh-CN"/>
        </w:rPr>
        <w:t>2024</w:t>
      </w:r>
      <w:r>
        <w:rPr>
          <w:rFonts w:hint="default" w:ascii="Times New Roman" w:hAnsi="Times New Roman" w:eastAsia="方正仿宋_GBK" w:cs="Times New Roman"/>
          <w:sz w:val="33"/>
          <w:szCs w:val="33"/>
        </w:rPr>
        <w:t>年度</w:t>
      </w:r>
      <w:r>
        <w:rPr>
          <w:rFonts w:hint="eastAsia" w:eastAsia="方正仿宋_GBK" w:cs="Times New Roman"/>
          <w:sz w:val="33"/>
          <w:szCs w:val="33"/>
          <w:lang w:val="en-US" w:eastAsia="zh-CN"/>
        </w:rPr>
        <w:t>增加</w:t>
      </w:r>
      <w:r>
        <w:rPr>
          <w:rFonts w:hint="eastAsia" w:eastAsia="方正仿宋_GBK" w:cs="Times New Roman"/>
          <w:b/>
          <w:bCs/>
          <w:sz w:val="33"/>
          <w:szCs w:val="33"/>
          <w:lang w:val="en-US" w:eastAsia="zh-CN"/>
        </w:rPr>
        <w:t>0.55</w:t>
      </w:r>
      <w:r>
        <w:rPr>
          <w:rFonts w:hint="default" w:ascii="Times New Roman" w:hAnsi="Times New Roman" w:eastAsia="方正仿宋_GBK" w:cs="Times New Roman"/>
          <w:sz w:val="33"/>
          <w:szCs w:val="33"/>
        </w:rPr>
        <w:t>万元，</w:t>
      </w:r>
      <w:r>
        <w:rPr>
          <w:rFonts w:hint="eastAsia" w:eastAsia="方正仿宋_GBK" w:cs="Times New Roman"/>
          <w:sz w:val="33"/>
          <w:szCs w:val="33"/>
          <w:lang w:val="en-US" w:eastAsia="zh-CN"/>
        </w:rPr>
        <w:t>上升</w:t>
      </w:r>
      <w:r>
        <w:rPr>
          <w:rFonts w:hint="eastAsia" w:eastAsia="方正仿宋_GBK" w:cs="Times New Roman"/>
          <w:b/>
          <w:bCs/>
          <w:sz w:val="33"/>
          <w:szCs w:val="33"/>
          <w:lang w:val="en-US" w:eastAsia="zh-CN"/>
        </w:rPr>
        <w:t>2.15</w:t>
      </w:r>
      <w:r>
        <w:rPr>
          <w:rFonts w:hint="default" w:ascii="Times New Roman" w:hAnsi="Times New Roman" w:eastAsia="方正仿宋_GBK" w:cs="Times New Roman"/>
          <w:b/>
          <w:bCs/>
          <w:sz w:val="33"/>
          <w:szCs w:val="33"/>
        </w:rPr>
        <w:t>%</w:t>
      </w:r>
      <w:r>
        <w:rPr>
          <w:rFonts w:hint="default" w:ascii="Times New Roman" w:hAnsi="Times New Roman" w:eastAsia="方正仿宋_GBK" w:cs="Times New Roman"/>
          <w:sz w:val="33"/>
          <w:szCs w:val="33"/>
        </w:rPr>
        <w:t>。主要原因是</w:t>
      </w:r>
      <w:r>
        <w:rPr>
          <w:rFonts w:hint="default" w:ascii="Times New Roman" w:hAnsi="Times New Roman" w:eastAsia="方正仿宋_GBK" w:cs="Times New Roman"/>
          <w:sz w:val="33"/>
          <w:szCs w:val="33"/>
          <w:lang w:val="en-US" w:eastAsia="zh-CN"/>
        </w:rPr>
        <w:t>公务用车支出</w:t>
      </w:r>
      <w:r>
        <w:rPr>
          <w:rFonts w:hint="eastAsia" w:eastAsia="方正仿宋_GBK" w:cs="Times New Roman"/>
          <w:sz w:val="33"/>
          <w:szCs w:val="33"/>
          <w:lang w:val="en-US" w:eastAsia="zh-CN"/>
        </w:rPr>
        <w:t>增加</w:t>
      </w:r>
      <w:r>
        <w:rPr>
          <w:rFonts w:hint="default" w:ascii="Times New Roman" w:hAnsi="Times New Roman" w:eastAsia="方正仿宋_GBK" w:cs="Times New Roman"/>
          <w:sz w:val="33"/>
          <w:szCs w:val="33"/>
        </w:rPr>
        <w:t>。</w:t>
      </w:r>
    </w:p>
    <w:p w14:paraId="5D0B631C">
      <w:pPr>
        <w:spacing w:line="240" w:lineRule="auto"/>
        <w:ind w:firstLine="660" w:firstLineChars="200"/>
        <w:rPr>
          <w:rFonts w:hint="default" w:ascii="Times New Roman" w:hAnsi="Times New Roman" w:eastAsia="方正仿宋_GBK" w:cs="Times New Roman"/>
          <w:b/>
          <w:color w:val="FF0000"/>
          <w:sz w:val="33"/>
          <w:szCs w:val="33"/>
        </w:rPr>
      </w:pPr>
      <w:r>
        <w:rPr>
          <w:rFonts w:hint="default" w:ascii="Times New Roman" w:hAnsi="Times New Roman" w:eastAsia="方正仿宋_GBK" w:cs="Times New Roman"/>
          <w:sz w:val="33"/>
          <w:szCs w:val="33"/>
        </w:rPr>
        <w:t>其中：</w:t>
      </w:r>
      <w:r>
        <w:rPr>
          <w:rFonts w:hint="default" w:ascii="Times New Roman" w:hAnsi="Times New Roman" w:eastAsia="方正仿宋_GBK" w:cs="Times New Roman"/>
          <w:b/>
          <w:sz w:val="33"/>
          <w:szCs w:val="33"/>
        </w:rPr>
        <w:t>公务用车购置支出0</w:t>
      </w:r>
      <w:r>
        <w:rPr>
          <w:rFonts w:hint="default" w:ascii="Times New Roman" w:hAnsi="Times New Roman" w:eastAsia="方正仿宋_GBK" w:cs="Times New Roman"/>
          <w:sz w:val="33"/>
          <w:szCs w:val="33"/>
        </w:rPr>
        <w:t>万元。全年按规定更新购置公务用车</w:t>
      </w:r>
      <w:r>
        <w:rPr>
          <w:rFonts w:hint="default" w:ascii="Times New Roman" w:hAnsi="Times New Roman" w:eastAsia="方正仿宋_GBK" w:cs="Times New Roman"/>
          <w:b/>
          <w:bCs/>
          <w:sz w:val="33"/>
          <w:szCs w:val="33"/>
          <w:lang w:eastAsia="zh-CN"/>
        </w:rPr>
        <w:t>0</w:t>
      </w:r>
      <w:r>
        <w:rPr>
          <w:rFonts w:hint="default" w:ascii="Times New Roman" w:hAnsi="Times New Roman" w:eastAsia="方正仿宋_GBK" w:cs="Times New Roman"/>
          <w:sz w:val="33"/>
          <w:szCs w:val="33"/>
        </w:rPr>
        <w:t>辆，其中：轿车</w:t>
      </w:r>
      <w:r>
        <w:rPr>
          <w:rFonts w:hint="default" w:ascii="Times New Roman" w:hAnsi="Times New Roman" w:eastAsia="方正仿宋_GBK" w:cs="Times New Roman"/>
          <w:b/>
          <w:bCs/>
          <w:sz w:val="33"/>
          <w:szCs w:val="33"/>
          <w:lang w:eastAsia="zh-CN"/>
        </w:rPr>
        <w:t>0</w:t>
      </w:r>
      <w:r>
        <w:rPr>
          <w:rFonts w:hint="default" w:ascii="Times New Roman" w:hAnsi="Times New Roman" w:eastAsia="方正仿宋_GBK" w:cs="Times New Roman"/>
          <w:sz w:val="33"/>
          <w:szCs w:val="33"/>
        </w:rPr>
        <w:t>辆、金额</w:t>
      </w:r>
      <w:r>
        <w:rPr>
          <w:rFonts w:hint="default" w:ascii="Times New Roman" w:hAnsi="Times New Roman" w:eastAsia="方正仿宋_GBK" w:cs="Times New Roman"/>
          <w:b/>
          <w:bCs/>
          <w:sz w:val="33"/>
          <w:szCs w:val="33"/>
          <w:lang w:eastAsia="zh-CN"/>
        </w:rPr>
        <w:t>0</w:t>
      </w:r>
      <w:r>
        <w:rPr>
          <w:rFonts w:hint="default" w:ascii="Times New Roman" w:hAnsi="Times New Roman" w:eastAsia="方正仿宋_GBK" w:cs="Times New Roman"/>
          <w:sz w:val="33"/>
          <w:szCs w:val="33"/>
        </w:rPr>
        <w:t>万元，越野车</w:t>
      </w:r>
      <w:r>
        <w:rPr>
          <w:rFonts w:hint="default" w:ascii="Times New Roman" w:hAnsi="Times New Roman" w:eastAsia="方正仿宋_GBK" w:cs="Times New Roman"/>
          <w:b/>
          <w:bCs/>
          <w:sz w:val="33"/>
          <w:szCs w:val="33"/>
          <w:lang w:eastAsia="zh-CN"/>
        </w:rPr>
        <w:t>0</w:t>
      </w:r>
      <w:r>
        <w:rPr>
          <w:rFonts w:hint="default" w:ascii="Times New Roman" w:hAnsi="Times New Roman" w:eastAsia="方正仿宋_GBK" w:cs="Times New Roman"/>
          <w:sz w:val="33"/>
          <w:szCs w:val="33"/>
        </w:rPr>
        <w:t>辆、金额</w:t>
      </w:r>
      <w:r>
        <w:rPr>
          <w:rFonts w:hint="default" w:ascii="Times New Roman" w:hAnsi="Times New Roman" w:eastAsia="方正仿宋_GBK" w:cs="Times New Roman"/>
          <w:b/>
          <w:bCs/>
          <w:sz w:val="33"/>
          <w:szCs w:val="33"/>
          <w:lang w:eastAsia="zh-CN"/>
        </w:rPr>
        <w:t>0</w:t>
      </w:r>
      <w:r>
        <w:rPr>
          <w:rFonts w:hint="default" w:ascii="Times New Roman" w:hAnsi="Times New Roman" w:eastAsia="方正仿宋_GBK" w:cs="Times New Roman"/>
          <w:sz w:val="33"/>
          <w:szCs w:val="33"/>
        </w:rPr>
        <w:t>万元，载客汽车</w:t>
      </w:r>
      <w:r>
        <w:rPr>
          <w:rFonts w:hint="default" w:ascii="Times New Roman" w:hAnsi="Times New Roman" w:eastAsia="方正仿宋_GBK" w:cs="Times New Roman"/>
          <w:b/>
          <w:bCs/>
          <w:sz w:val="33"/>
          <w:szCs w:val="33"/>
          <w:lang w:eastAsia="zh-CN"/>
        </w:rPr>
        <w:t>0</w:t>
      </w:r>
      <w:r>
        <w:rPr>
          <w:rFonts w:hint="default" w:ascii="Times New Roman" w:hAnsi="Times New Roman" w:eastAsia="方正仿宋_GBK" w:cs="Times New Roman"/>
          <w:sz w:val="33"/>
          <w:szCs w:val="33"/>
        </w:rPr>
        <w:t>辆、金额</w:t>
      </w:r>
      <w:r>
        <w:rPr>
          <w:rFonts w:hint="default" w:ascii="Times New Roman" w:hAnsi="Times New Roman" w:eastAsia="方正仿宋_GBK" w:cs="Times New Roman"/>
          <w:b/>
          <w:bCs/>
          <w:sz w:val="33"/>
          <w:szCs w:val="33"/>
          <w:lang w:eastAsia="zh-CN"/>
        </w:rPr>
        <w:t>0</w:t>
      </w:r>
      <w:r>
        <w:rPr>
          <w:rFonts w:hint="default" w:ascii="Times New Roman" w:hAnsi="Times New Roman" w:eastAsia="方正仿宋_GBK" w:cs="Times New Roman"/>
          <w:sz w:val="33"/>
          <w:szCs w:val="33"/>
        </w:rPr>
        <w:t>万元</w:t>
      </w:r>
      <w:r>
        <w:rPr>
          <w:rFonts w:hint="default" w:ascii="Times New Roman" w:hAnsi="Times New Roman" w:eastAsia="方正仿宋_GBK" w:cs="Times New Roman"/>
          <w:color w:val="000000" w:themeColor="text1"/>
          <w:sz w:val="33"/>
          <w:szCs w:val="33"/>
          <w14:textFill>
            <w14:solidFill>
              <w14:schemeClr w14:val="tx1"/>
            </w14:solidFill>
          </w14:textFill>
        </w:rPr>
        <w:t>。截至</w:t>
      </w:r>
      <w:r>
        <w:rPr>
          <w:rFonts w:hint="default" w:ascii="Times New Roman" w:hAnsi="Times New Roman" w:eastAsia="方正仿宋_GBK" w:cs="Times New Roman"/>
          <w:b/>
          <w:bCs/>
          <w:color w:val="000000" w:themeColor="text1"/>
          <w:sz w:val="33"/>
          <w:szCs w:val="33"/>
          <w14:textFill>
            <w14:solidFill>
              <w14:schemeClr w14:val="tx1"/>
            </w14:solidFill>
          </w14:textFill>
        </w:rPr>
        <w:t>202</w:t>
      </w:r>
      <w:r>
        <w:rPr>
          <w:rFonts w:hint="eastAsia" w:eastAsia="方正仿宋_GBK" w:cs="Times New Roman"/>
          <w:b/>
          <w:bCs/>
          <w:color w:val="000000" w:themeColor="text1"/>
          <w:sz w:val="33"/>
          <w:szCs w:val="33"/>
          <w:lang w:val="en-US" w:eastAsia="zh-CN"/>
          <w14:textFill>
            <w14:solidFill>
              <w14:schemeClr w14:val="tx1"/>
            </w14:solidFill>
          </w14:textFill>
        </w:rPr>
        <w:t>5</w:t>
      </w:r>
      <w:r>
        <w:rPr>
          <w:rFonts w:hint="default" w:ascii="Times New Roman" w:hAnsi="Times New Roman" w:eastAsia="方正仿宋_GBK" w:cs="Times New Roman"/>
          <w:color w:val="000000" w:themeColor="text1"/>
          <w:sz w:val="33"/>
          <w:szCs w:val="33"/>
          <w14:textFill>
            <w14:solidFill>
              <w14:schemeClr w14:val="tx1"/>
            </w14:solidFill>
          </w14:textFill>
        </w:rPr>
        <w:t>年</w:t>
      </w:r>
      <w:r>
        <w:rPr>
          <w:rFonts w:hint="default" w:ascii="Times New Roman" w:hAnsi="Times New Roman" w:eastAsia="方正仿宋_GBK" w:cs="Times New Roman"/>
          <w:b/>
          <w:bCs/>
          <w:color w:val="000000" w:themeColor="text1"/>
          <w:sz w:val="33"/>
          <w:szCs w:val="33"/>
          <w14:textFill>
            <w14:solidFill>
              <w14:schemeClr w14:val="tx1"/>
            </w14:solidFill>
          </w14:textFill>
        </w:rPr>
        <w:t>12</w:t>
      </w:r>
      <w:r>
        <w:rPr>
          <w:rFonts w:hint="default" w:ascii="Times New Roman" w:hAnsi="Times New Roman" w:eastAsia="方正仿宋_GBK" w:cs="Times New Roman"/>
          <w:color w:val="000000" w:themeColor="text1"/>
          <w:sz w:val="33"/>
          <w:szCs w:val="33"/>
          <w14:textFill>
            <w14:solidFill>
              <w14:schemeClr w14:val="tx1"/>
            </w14:solidFill>
          </w14:textFill>
        </w:rPr>
        <w:t>月</w:t>
      </w:r>
      <w:r>
        <w:rPr>
          <w:rFonts w:hint="default" w:ascii="Times New Roman" w:hAnsi="Times New Roman" w:eastAsia="方正仿宋_GBK" w:cs="Times New Roman"/>
          <w:b/>
          <w:bCs/>
          <w:color w:val="000000" w:themeColor="text1"/>
          <w:sz w:val="33"/>
          <w:szCs w:val="33"/>
          <w14:textFill>
            <w14:solidFill>
              <w14:schemeClr w14:val="tx1"/>
            </w14:solidFill>
          </w14:textFill>
        </w:rPr>
        <w:t>31</w:t>
      </w:r>
      <w:r>
        <w:rPr>
          <w:rFonts w:hint="default" w:ascii="Times New Roman" w:hAnsi="Times New Roman" w:eastAsia="方正仿宋_GBK" w:cs="Times New Roman"/>
          <w:color w:val="000000" w:themeColor="text1"/>
          <w:sz w:val="33"/>
          <w:szCs w:val="33"/>
          <w14:textFill>
            <w14:solidFill>
              <w14:schemeClr w14:val="tx1"/>
            </w14:solidFill>
          </w14:textFill>
        </w:rPr>
        <w:t>日，单位共有公务用车</w:t>
      </w:r>
      <w:r>
        <w:rPr>
          <w:rFonts w:hint="eastAsia" w:eastAsia="方正仿宋_GBK" w:cs="Times New Roman"/>
          <w:b/>
          <w:bCs/>
          <w:color w:val="000000" w:themeColor="text1"/>
          <w:sz w:val="33"/>
          <w:szCs w:val="33"/>
          <w:lang w:val="en-US" w:eastAsia="zh-CN"/>
          <w14:textFill>
            <w14:solidFill>
              <w14:schemeClr w14:val="tx1"/>
            </w14:solidFill>
          </w14:textFill>
        </w:rPr>
        <w:t>14</w:t>
      </w:r>
      <w:r>
        <w:rPr>
          <w:rFonts w:hint="default" w:ascii="Times New Roman" w:hAnsi="Times New Roman" w:eastAsia="方正仿宋_GBK" w:cs="Times New Roman"/>
          <w:color w:val="000000" w:themeColor="text1"/>
          <w:sz w:val="33"/>
          <w:szCs w:val="33"/>
          <w14:textFill>
            <w14:solidFill>
              <w14:schemeClr w14:val="tx1"/>
            </w14:solidFill>
          </w14:textFill>
        </w:rPr>
        <w:t>辆，其中：轿车</w:t>
      </w:r>
      <w:r>
        <w:rPr>
          <w:rFonts w:hint="eastAsia" w:eastAsia="方正仿宋_GBK" w:cs="Times New Roman"/>
          <w:b/>
          <w:bCs/>
          <w:color w:val="000000" w:themeColor="text1"/>
          <w:sz w:val="33"/>
          <w:szCs w:val="33"/>
          <w:lang w:val="en-US" w:eastAsia="zh-CN"/>
          <w14:textFill>
            <w14:solidFill>
              <w14:schemeClr w14:val="tx1"/>
            </w14:solidFill>
          </w14:textFill>
        </w:rPr>
        <w:t>5</w:t>
      </w:r>
      <w:r>
        <w:rPr>
          <w:rFonts w:hint="default" w:ascii="Times New Roman" w:hAnsi="Times New Roman" w:eastAsia="方正仿宋_GBK" w:cs="Times New Roman"/>
          <w:color w:val="000000" w:themeColor="text1"/>
          <w:sz w:val="33"/>
          <w:szCs w:val="33"/>
          <w14:textFill>
            <w14:solidFill>
              <w14:schemeClr w14:val="tx1"/>
            </w14:solidFill>
          </w14:textFill>
        </w:rPr>
        <w:t>辆、越野车</w:t>
      </w:r>
      <w:r>
        <w:rPr>
          <w:rFonts w:hint="eastAsia" w:eastAsia="方正仿宋_GBK" w:cs="Times New Roman"/>
          <w:b/>
          <w:bCs/>
          <w:color w:val="000000" w:themeColor="text1"/>
          <w:sz w:val="33"/>
          <w:szCs w:val="33"/>
          <w:lang w:val="en-US" w:eastAsia="zh-CN"/>
          <w14:textFill>
            <w14:solidFill>
              <w14:schemeClr w14:val="tx1"/>
            </w14:solidFill>
          </w14:textFill>
        </w:rPr>
        <w:t>5</w:t>
      </w:r>
      <w:r>
        <w:rPr>
          <w:rFonts w:hint="default" w:ascii="Times New Roman" w:hAnsi="Times New Roman" w:eastAsia="方正仿宋_GBK" w:cs="Times New Roman"/>
          <w:color w:val="000000" w:themeColor="text1"/>
          <w:sz w:val="33"/>
          <w:szCs w:val="33"/>
          <w14:textFill>
            <w14:solidFill>
              <w14:schemeClr w14:val="tx1"/>
            </w14:solidFill>
          </w14:textFill>
        </w:rPr>
        <w:t>辆、</w:t>
      </w:r>
      <w:r>
        <w:rPr>
          <w:rFonts w:hint="eastAsia" w:eastAsia="方正仿宋_GBK" w:cs="Times New Roman"/>
          <w:color w:val="000000" w:themeColor="text1"/>
          <w:sz w:val="33"/>
          <w:szCs w:val="33"/>
          <w:lang w:val="en-US" w:eastAsia="zh-CN"/>
          <w14:textFill>
            <w14:solidFill>
              <w14:schemeClr w14:val="tx1"/>
            </w14:solidFill>
          </w14:textFill>
        </w:rPr>
        <w:t>商务车</w:t>
      </w:r>
      <w:r>
        <w:rPr>
          <w:rFonts w:hint="eastAsia" w:eastAsia="方正仿宋_GBK" w:cs="Times New Roman"/>
          <w:b/>
          <w:bCs/>
          <w:color w:val="000000" w:themeColor="text1"/>
          <w:sz w:val="33"/>
          <w:szCs w:val="33"/>
          <w:lang w:val="en-US" w:eastAsia="zh-CN"/>
          <w14:textFill>
            <w14:solidFill>
              <w14:schemeClr w14:val="tx1"/>
            </w14:solidFill>
          </w14:textFill>
        </w:rPr>
        <w:t>4</w:t>
      </w:r>
      <w:r>
        <w:rPr>
          <w:rFonts w:hint="eastAsia" w:eastAsia="方正仿宋_GBK" w:cs="Times New Roman"/>
          <w:color w:val="000000" w:themeColor="text1"/>
          <w:sz w:val="33"/>
          <w:szCs w:val="33"/>
          <w:lang w:val="en-US" w:eastAsia="zh-CN"/>
          <w14:textFill>
            <w14:solidFill>
              <w14:schemeClr w14:val="tx1"/>
            </w14:solidFill>
          </w14:textFill>
        </w:rPr>
        <w:t>辆车、</w:t>
      </w:r>
      <w:r>
        <w:rPr>
          <w:rFonts w:hint="default" w:ascii="Times New Roman" w:hAnsi="Times New Roman" w:eastAsia="方正仿宋_GBK" w:cs="Times New Roman"/>
          <w:color w:val="000000" w:themeColor="text1"/>
          <w:sz w:val="33"/>
          <w:szCs w:val="33"/>
          <w14:textFill>
            <w14:solidFill>
              <w14:schemeClr w14:val="tx1"/>
            </w14:solidFill>
          </w14:textFill>
        </w:rPr>
        <w:t>载客汽车</w:t>
      </w:r>
      <w:r>
        <w:rPr>
          <w:rFonts w:hint="default" w:ascii="Times New Roman" w:hAnsi="Times New Roman" w:eastAsia="方正仿宋_GBK" w:cs="Times New Roman"/>
          <w:b/>
          <w:bCs/>
          <w:color w:val="000000" w:themeColor="text1"/>
          <w:sz w:val="33"/>
          <w:szCs w:val="33"/>
          <w:lang w:eastAsia="zh-CN"/>
          <w14:textFill>
            <w14:solidFill>
              <w14:schemeClr w14:val="tx1"/>
            </w14:solidFill>
          </w14:textFill>
        </w:rPr>
        <w:t>0</w:t>
      </w:r>
      <w:r>
        <w:rPr>
          <w:rFonts w:hint="default" w:ascii="Times New Roman" w:hAnsi="Times New Roman" w:eastAsia="方正仿宋_GBK" w:cs="Times New Roman"/>
          <w:color w:val="000000" w:themeColor="text1"/>
          <w:sz w:val="33"/>
          <w:szCs w:val="33"/>
          <w14:textFill>
            <w14:solidFill>
              <w14:schemeClr w14:val="tx1"/>
            </w14:solidFill>
          </w14:textFill>
        </w:rPr>
        <w:t>辆。</w:t>
      </w:r>
    </w:p>
    <w:p w14:paraId="1845526B">
      <w:pPr>
        <w:spacing w:line="240" w:lineRule="auto"/>
        <w:ind w:firstLine="640"/>
        <w:rPr>
          <w:rFonts w:hint="default" w:ascii="Times New Roman" w:hAnsi="Times New Roman" w:eastAsia="方正仿宋_GBK" w:cs="Times New Roman"/>
          <w:sz w:val="33"/>
          <w:szCs w:val="33"/>
        </w:rPr>
      </w:pPr>
      <w:r>
        <w:rPr>
          <w:rFonts w:hint="default" w:ascii="Times New Roman" w:hAnsi="Times New Roman" w:eastAsia="方正仿宋_GBK" w:cs="Times New Roman"/>
          <w:b/>
          <w:sz w:val="33"/>
          <w:szCs w:val="33"/>
        </w:rPr>
        <w:t>公务用车运行维护费支出</w:t>
      </w:r>
      <w:r>
        <w:rPr>
          <w:rFonts w:hint="eastAsia" w:ascii="Times New Roman" w:hAnsi="Times New Roman" w:eastAsia="方正仿宋_GBK" w:cs="Times New Roman"/>
          <w:b/>
          <w:sz w:val="33"/>
          <w:szCs w:val="33"/>
          <w:lang w:val="en-US" w:eastAsia="zh-CN"/>
        </w:rPr>
        <w:t>23.</w:t>
      </w:r>
      <w:r>
        <w:rPr>
          <w:rFonts w:hint="eastAsia" w:eastAsia="方正仿宋_GBK" w:cs="Times New Roman"/>
          <w:b/>
          <w:sz w:val="33"/>
          <w:szCs w:val="33"/>
          <w:lang w:val="en-US" w:eastAsia="zh-CN"/>
        </w:rPr>
        <w:t>71</w:t>
      </w:r>
      <w:r>
        <w:rPr>
          <w:rFonts w:hint="default" w:ascii="Times New Roman" w:hAnsi="Times New Roman" w:eastAsia="方正仿宋_GBK" w:cs="Times New Roman"/>
          <w:sz w:val="33"/>
          <w:szCs w:val="33"/>
        </w:rPr>
        <w:t>万元。</w:t>
      </w:r>
      <w:r>
        <w:rPr>
          <w:rFonts w:hint="default" w:ascii="Times New Roman" w:hAnsi="Times New Roman" w:eastAsia="方正仿宋_GBK" w:cs="Times New Roman"/>
          <w:color w:val="000000"/>
          <w:kern w:val="0"/>
          <w:sz w:val="33"/>
          <w:szCs w:val="33"/>
        </w:rPr>
        <w:t>主要</w:t>
      </w:r>
      <w:r>
        <w:rPr>
          <w:rFonts w:hint="default" w:ascii="Times New Roman" w:hAnsi="Times New Roman" w:eastAsia="方正仿宋_GBK" w:cs="Times New Roman"/>
          <w:sz w:val="33"/>
          <w:szCs w:val="33"/>
        </w:rPr>
        <w:t>用于参加开展监督检查、调研、办案等所需的</w:t>
      </w:r>
      <w:r>
        <w:rPr>
          <w:rFonts w:hint="default" w:ascii="Times New Roman" w:hAnsi="Times New Roman" w:eastAsia="方正仿宋_GBK" w:cs="Times New Roman"/>
          <w:color w:val="000000"/>
          <w:kern w:val="0"/>
          <w:sz w:val="33"/>
          <w:szCs w:val="33"/>
        </w:rPr>
        <w:t>公务用车燃料费、维修费、过路过桥费、保险费等支出</w:t>
      </w:r>
      <w:r>
        <w:rPr>
          <w:rFonts w:hint="default" w:ascii="Times New Roman" w:hAnsi="Times New Roman" w:eastAsia="方正仿宋_GBK" w:cs="Times New Roman"/>
          <w:sz w:val="33"/>
          <w:szCs w:val="33"/>
        </w:rPr>
        <w:t>。</w:t>
      </w:r>
    </w:p>
    <w:p w14:paraId="636E7063">
      <w:pPr>
        <w:spacing w:line="240" w:lineRule="auto"/>
        <w:ind w:firstLine="640"/>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b/>
          <w:bCs/>
          <w:color w:val="auto"/>
          <w:kern w:val="2"/>
          <w:sz w:val="32"/>
          <w:szCs w:val="32"/>
          <w:highlight w:val="none"/>
          <w:lang w:val="en-US" w:eastAsia="zh-CN" w:bidi="ar-SA"/>
        </w:rPr>
        <w:t>3.公务接待费支出2.41万元，完成预算</w:t>
      </w:r>
      <w:r>
        <w:rPr>
          <w:rFonts w:hint="eastAsia" w:ascii="Times New Roman" w:hAnsi="Times New Roman" w:eastAsia="方正仿宋_GBK" w:cs="Times New Roman"/>
          <w:b/>
          <w:bCs/>
          <w:color w:val="auto"/>
          <w:kern w:val="2"/>
          <w:sz w:val="32"/>
          <w:szCs w:val="32"/>
          <w:highlight w:val="none"/>
          <w:lang w:val="en-US" w:eastAsia="zh-CN" w:bidi="ar-SA"/>
        </w:rPr>
        <w:t>100</w:t>
      </w:r>
      <w:r>
        <w:rPr>
          <w:rFonts w:hint="default" w:ascii="Times New Roman" w:hAnsi="Times New Roman" w:eastAsia="方正仿宋_GBK" w:cs="Times New Roman"/>
          <w:b/>
          <w:bCs/>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公务接待费支出决算</w:t>
      </w:r>
      <w:r>
        <w:rPr>
          <w:rFonts w:hint="eastAsia" w:eastAsia="方正仿宋_GBK" w:cs="Times New Roman"/>
          <w:color w:val="auto"/>
          <w:kern w:val="2"/>
          <w:sz w:val="32"/>
          <w:szCs w:val="32"/>
          <w:highlight w:val="none"/>
          <w:lang w:val="en-US" w:eastAsia="zh-CN" w:bidi="ar-SA"/>
        </w:rPr>
        <w:t>与</w:t>
      </w:r>
      <w:r>
        <w:rPr>
          <w:rFonts w:hint="default" w:ascii="Times New Roman" w:hAnsi="Times New Roman" w:eastAsia="方正仿宋_GBK" w:cs="Times New Roman"/>
          <w:b/>
          <w:bCs/>
          <w:color w:val="auto"/>
          <w:kern w:val="2"/>
          <w:sz w:val="32"/>
          <w:szCs w:val="32"/>
          <w:highlight w:val="none"/>
          <w:lang w:val="en-US" w:eastAsia="zh-CN" w:bidi="ar-SA"/>
        </w:rPr>
        <w:t>202</w:t>
      </w:r>
      <w:r>
        <w:rPr>
          <w:rFonts w:hint="eastAsia" w:eastAsia="方正仿宋_GBK" w:cs="Times New Roman"/>
          <w:b/>
          <w:bCs/>
          <w:color w:val="auto"/>
          <w:kern w:val="2"/>
          <w:sz w:val="32"/>
          <w:szCs w:val="32"/>
          <w:highlight w:val="none"/>
          <w:lang w:val="en-US" w:eastAsia="zh-CN" w:bidi="ar-SA"/>
        </w:rPr>
        <w:t>4</w:t>
      </w:r>
      <w:r>
        <w:rPr>
          <w:rFonts w:hint="default" w:ascii="Times New Roman" w:hAnsi="Times New Roman" w:eastAsia="方正仿宋_GBK" w:cs="Times New Roman"/>
          <w:color w:val="auto"/>
          <w:kern w:val="2"/>
          <w:sz w:val="32"/>
          <w:szCs w:val="32"/>
          <w:highlight w:val="none"/>
          <w:lang w:val="en-US" w:eastAsia="zh-CN" w:bidi="ar-SA"/>
        </w:rPr>
        <w:t>年度</w:t>
      </w:r>
      <w:r>
        <w:rPr>
          <w:rFonts w:hint="eastAsia" w:eastAsia="方正仿宋_GBK" w:cs="Times New Roman"/>
          <w:color w:val="auto"/>
          <w:kern w:val="2"/>
          <w:sz w:val="32"/>
          <w:szCs w:val="32"/>
          <w:highlight w:val="none"/>
          <w:lang w:val="en-US" w:eastAsia="zh-CN" w:bidi="ar-SA"/>
        </w:rPr>
        <w:t>持平</w:t>
      </w:r>
      <w:r>
        <w:rPr>
          <w:rFonts w:hint="default" w:ascii="Times New Roman" w:hAnsi="Times New Roman" w:eastAsia="方正仿宋_GBK" w:cs="Times New Roman"/>
          <w:color w:val="auto"/>
          <w:kern w:val="2"/>
          <w:sz w:val="32"/>
          <w:szCs w:val="32"/>
          <w:highlight w:val="none"/>
          <w:lang w:val="en-US" w:eastAsia="zh-CN" w:bidi="ar-SA"/>
        </w:rPr>
        <w:t>。其中：</w:t>
      </w:r>
    </w:p>
    <w:p w14:paraId="616BD18C">
      <w:pPr>
        <w:spacing w:line="240" w:lineRule="auto"/>
        <w:ind w:firstLine="640"/>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b/>
          <w:bCs/>
          <w:color w:val="auto"/>
          <w:kern w:val="2"/>
          <w:sz w:val="32"/>
          <w:szCs w:val="32"/>
          <w:highlight w:val="none"/>
          <w:lang w:val="en-US" w:eastAsia="zh-CN" w:bidi="ar-SA"/>
        </w:rPr>
        <w:t>国内公务接待支出2.41万元</w:t>
      </w:r>
      <w:r>
        <w:rPr>
          <w:rFonts w:hint="default" w:ascii="Times New Roman" w:hAnsi="Times New Roman" w:eastAsia="方正仿宋_GBK" w:cs="Times New Roman"/>
          <w:color w:val="auto"/>
          <w:kern w:val="2"/>
          <w:sz w:val="32"/>
          <w:szCs w:val="32"/>
          <w:highlight w:val="none"/>
          <w:lang w:val="en-US" w:eastAsia="zh-CN" w:bidi="ar-SA"/>
        </w:rPr>
        <w:t>，主要用于单位执行公务、开展业务活动开支的交通费、住宿费、用餐费等。国内公务接待</w:t>
      </w:r>
      <w:r>
        <w:rPr>
          <w:rFonts w:hint="eastAsia" w:eastAsia="方正仿宋_GBK" w:cs="Times New Roman"/>
          <w:b/>
          <w:bCs/>
          <w:color w:val="auto"/>
          <w:kern w:val="2"/>
          <w:sz w:val="32"/>
          <w:szCs w:val="32"/>
          <w:highlight w:val="none"/>
          <w:lang w:val="en-US" w:eastAsia="zh-CN" w:bidi="ar-SA"/>
        </w:rPr>
        <w:t>20</w:t>
      </w:r>
      <w:r>
        <w:rPr>
          <w:rFonts w:hint="default" w:ascii="Times New Roman" w:hAnsi="Times New Roman" w:eastAsia="方正仿宋_GBK" w:cs="Times New Roman"/>
          <w:color w:val="auto"/>
          <w:kern w:val="2"/>
          <w:sz w:val="32"/>
          <w:szCs w:val="32"/>
          <w:highlight w:val="none"/>
          <w:lang w:val="en-US" w:eastAsia="zh-CN" w:bidi="ar-SA"/>
        </w:rPr>
        <w:t>批次，</w:t>
      </w:r>
      <w:r>
        <w:rPr>
          <w:rFonts w:hint="eastAsia" w:eastAsia="方正仿宋_GBK" w:cs="Times New Roman"/>
          <w:b/>
          <w:bCs/>
          <w:color w:val="auto"/>
          <w:kern w:val="2"/>
          <w:sz w:val="32"/>
          <w:szCs w:val="32"/>
          <w:highlight w:val="none"/>
          <w:lang w:val="en-US" w:eastAsia="zh-CN" w:bidi="ar-SA"/>
        </w:rPr>
        <w:t>146</w:t>
      </w:r>
      <w:r>
        <w:rPr>
          <w:rFonts w:hint="default" w:ascii="Times New Roman" w:hAnsi="Times New Roman" w:eastAsia="方正仿宋_GBK" w:cs="Times New Roman"/>
          <w:color w:val="auto"/>
          <w:kern w:val="2"/>
          <w:sz w:val="32"/>
          <w:szCs w:val="32"/>
          <w:highlight w:val="none"/>
          <w:lang w:val="en-US" w:eastAsia="zh-CN" w:bidi="ar-SA"/>
        </w:rPr>
        <w:t>人次（</w:t>
      </w:r>
      <w:r>
        <w:rPr>
          <w:rFonts w:hint="eastAsia" w:eastAsia="方正仿宋_GBK" w:cs="Times New Roman"/>
          <w:color w:val="auto"/>
          <w:kern w:val="2"/>
          <w:sz w:val="32"/>
          <w:szCs w:val="32"/>
          <w:highlight w:val="none"/>
          <w:lang w:val="en-US" w:eastAsia="zh-CN" w:bidi="ar-SA"/>
        </w:rPr>
        <w:t>不</w:t>
      </w:r>
      <w:r>
        <w:rPr>
          <w:rFonts w:hint="default" w:ascii="Times New Roman" w:hAnsi="Times New Roman" w:eastAsia="方正仿宋_GBK" w:cs="Times New Roman"/>
          <w:color w:val="auto"/>
          <w:kern w:val="2"/>
          <w:sz w:val="32"/>
          <w:szCs w:val="32"/>
          <w:highlight w:val="none"/>
          <w:lang w:val="en-US" w:eastAsia="zh-CN" w:bidi="ar-SA"/>
        </w:rPr>
        <w:t>包括</w:t>
      </w:r>
      <w:r>
        <w:rPr>
          <w:rFonts w:hint="eastAsia" w:eastAsia="方正仿宋_GBK" w:cs="Times New Roman"/>
          <w:color w:val="auto"/>
          <w:kern w:val="2"/>
          <w:sz w:val="32"/>
          <w:szCs w:val="32"/>
          <w:highlight w:val="none"/>
          <w:lang w:val="en-US" w:eastAsia="zh-CN" w:bidi="ar-SA"/>
        </w:rPr>
        <w:t>工作人员</w:t>
      </w:r>
      <w:r>
        <w:rPr>
          <w:rFonts w:hint="default" w:ascii="Times New Roman" w:hAnsi="Times New Roman" w:eastAsia="方正仿宋_GBK" w:cs="Times New Roman"/>
          <w:color w:val="auto"/>
          <w:kern w:val="2"/>
          <w:sz w:val="32"/>
          <w:szCs w:val="32"/>
          <w:highlight w:val="none"/>
          <w:lang w:val="en-US" w:eastAsia="zh-CN" w:bidi="ar-SA"/>
        </w:rPr>
        <w:t>），共计支出</w:t>
      </w:r>
      <w:r>
        <w:rPr>
          <w:rFonts w:hint="default" w:ascii="Times New Roman" w:hAnsi="Times New Roman" w:eastAsia="方正仿宋_GBK" w:cs="Times New Roman"/>
          <w:b/>
          <w:bCs/>
          <w:color w:val="auto"/>
          <w:kern w:val="2"/>
          <w:sz w:val="32"/>
          <w:szCs w:val="32"/>
          <w:highlight w:val="none"/>
          <w:lang w:val="en-US" w:eastAsia="zh-CN" w:bidi="ar-SA"/>
        </w:rPr>
        <w:t>2.41</w:t>
      </w:r>
      <w:r>
        <w:rPr>
          <w:rFonts w:hint="default" w:ascii="Times New Roman" w:hAnsi="Times New Roman" w:eastAsia="方正仿宋_GBK" w:cs="Times New Roman"/>
          <w:color w:val="auto"/>
          <w:kern w:val="2"/>
          <w:sz w:val="32"/>
          <w:szCs w:val="32"/>
          <w:highlight w:val="none"/>
          <w:lang w:val="en-US" w:eastAsia="zh-CN" w:bidi="ar-SA"/>
        </w:rPr>
        <w:t>万元，具体内容包括：来自省、同级市州的检查、办案、交流、学习、调研等发生接待餐费。</w:t>
      </w:r>
    </w:p>
    <w:p w14:paraId="3F8296F4">
      <w:pPr>
        <w:spacing w:line="240" w:lineRule="auto"/>
        <w:ind w:firstLine="640"/>
        <w:rPr>
          <w:rFonts w:hint="eastAsia"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方正仿宋_GBK" w:cs="Times New Roman"/>
          <w:b/>
          <w:bCs/>
          <w:color w:val="auto"/>
          <w:kern w:val="2"/>
          <w:sz w:val="32"/>
          <w:szCs w:val="32"/>
          <w:highlight w:val="none"/>
          <w:lang w:val="en-US" w:eastAsia="zh-CN" w:bidi="ar-SA"/>
        </w:rPr>
        <w:t>外事接待支出0万元</w:t>
      </w:r>
      <w:r>
        <w:rPr>
          <w:rFonts w:hint="default" w:ascii="Times New Roman" w:hAnsi="Times New Roman" w:eastAsia="方正仿宋_GBK" w:cs="Times New Roman"/>
          <w:color w:val="auto"/>
          <w:kern w:val="2"/>
          <w:sz w:val="32"/>
          <w:szCs w:val="32"/>
          <w:highlight w:val="none"/>
          <w:lang w:val="en-US" w:eastAsia="zh-CN" w:bidi="ar-SA"/>
        </w:rPr>
        <w:t>，外事接待</w:t>
      </w:r>
      <w:r>
        <w:rPr>
          <w:rFonts w:hint="default" w:ascii="Times New Roman" w:hAnsi="Times New Roman" w:eastAsia="方正仿宋_GBK" w:cs="Times New Roman"/>
          <w:b/>
          <w:bCs/>
          <w:color w:val="auto"/>
          <w:kern w:val="2"/>
          <w:sz w:val="32"/>
          <w:szCs w:val="32"/>
          <w:highlight w:val="none"/>
          <w:lang w:val="en-US" w:eastAsia="zh-CN" w:bidi="ar-SA"/>
        </w:rPr>
        <w:t>0</w:t>
      </w:r>
      <w:r>
        <w:rPr>
          <w:rFonts w:hint="default" w:ascii="Times New Roman" w:hAnsi="Times New Roman" w:eastAsia="方正仿宋_GBK" w:cs="Times New Roman"/>
          <w:color w:val="auto"/>
          <w:kern w:val="2"/>
          <w:sz w:val="32"/>
          <w:szCs w:val="32"/>
          <w:highlight w:val="none"/>
          <w:lang w:val="en-US" w:eastAsia="zh-CN" w:bidi="ar-SA"/>
        </w:rPr>
        <w:t>批次，</w:t>
      </w:r>
      <w:r>
        <w:rPr>
          <w:rFonts w:hint="default" w:ascii="Times New Roman" w:hAnsi="Times New Roman" w:eastAsia="方正仿宋_GBK" w:cs="Times New Roman"/>
          <w:b/>
          <w:bCs/>
          <w:color w:val="auto"/>
          <w:kern w:val="2"/>
          <w:sz w:val="32"/>
          <w:szCs w:val="32"/>
          <w:highlight w:val="none"/>
          <w:lang w:val="en-US" w:eastAsia="zh-CN" w:bidi="ar-SA"/>
        </w:rPr>
        <w:t>0</w:t>
      </w:r>
      <w:r>
        <w:rPr>
          <w:rFonts w:hint="default" w:ascii="Times New Roman" w:hAnsi="Times New Roman" w:eastAsia="方正仿宋_GBK" w:cs="Times New Roman"/>
          <w:color w:val="auto"/>
          <w:kern w:val="2"/>
          <w:sz w:val="32"/>
          <w:szCs w:val="32"/>
          <w:highlight w:val="none"/>
          <w:lang w:val="en-US" w:eastAsia="zh-CN" w:bidi="ar-SA"/>
        </w:rPr>
        <w:t>人次（不包括陪同人员），共计支出</w:t>
      </w:r>
      <w:r>
        <w:rPr>
          <w:rFonts w:hint="default" w:ascii="Times New Roman" w:hAnsi="Times New Roman" w:eastAsia="方正仿宋_GBK" w:cs="Times New Roman"/>
          <w:b/>
          <w:bCs/>
          <w:color w:val="auto"/>
          <w:kern w:val="2"/>
          <w:sz w:val="32"/>
          <w:szCs w:val="32"/>
          <w:highlight w:val="none"/>
          <w:lang w:val="en-US" w:eastAsia="zh-CN" w:bidi="ar-SA"/>
        </w:rPr>
        <w:t>0</w:t>
      </w:r>
      <w:r>
        <w:rPr>
          <w:rFonts w:hint="default" w:ascii="Times New Roman" w:hAnsi="Times New Roman" w:eastAsia="方正仿宋_GBK" w:cs="Times New Roman"/>
          <w:color w:val="auto"/>
          <w:kern w:val="2"/>
          <w:sz w:val="32"/>
          <w:szCs w:val="32"/>
          <w:highlight w:val="none"/>
          <w:lang w:val="en-US" w:eastAsia="zh-CN" w:bidi="ar-SA"/>
        </w:rPr>
        <w:t>万元。</w:t>
      </w:r>
    </w:p>
    <w:bookmarkEnd w:id="61"/>
    <w:bookmarkEnd w:id="62"/>
    <w:p w14:paraId="24CA7F1E">
      <w:pPr>
        <w:spacing w:line="600" w:lineRule="exact"/>
        <w:ind w:firstLine="640"/>
        <w:outlineLvl w:val="1"/>
        <w:rPr>
          <w:rStyle w:val="31"/>
          <w:rFonts w:ascii="Times New Roman" w:hAnsi="Times New Roman" w:eastAsia="黑体"/>
          <w:color w:val="auto"/>
          <w:highlight w:val="none"/>
        </w:rPr>
      </w:pPr>
      <w:bookmarkStart w:id="63" w:name="_Toc30445"/>
      <w:bookmarkStart w:id="64" w:name="_Toc568"/>
      <w:bookmarkStart w:id="65" w:name="_Toc15396612"/>
      <w:bookmarkStart w:id="66" w:name="_Toc15377221"/>
      <w:r>
        <w:rPr>
          <w:rFonts w:hint="eastAsia" w:ascii="Times New Roman" w:hAnsi="Times New Roman" w:eastAsia="黑体"/>
          <w:color w:val="auto"/>
          <w:sz w:val="32"/>
          <w:szCs w:val="32"/>
          <w:highlight w:val="none"/>
        </w:rPr>
        <w:t>八、</w:t>
      </w:r>
      <w:r>
        <w:rPr>
          <w:rStyle w:val="31"/>
          <w:rFonts w:hint="eastAsia" w:ascii="Times New Roman" w:hAnsi="Times New Roman" w:eastAsia="黑体"/>
          <w:b w:val="0"/>
          <w:color w:val="auto"/>
          <w:highlight w:val="none"/>
        </w:rPr>
        <w:t>政府性基金预算支出决算情况说明</w:t>
      </w:r>
      <w:bookmarkEnd w:id="63"/>
      <w:bookmarkEnd w:id="64"/>
    </w:p>
    <w:p w14:paraId="6C7C5244">
      <w:pPr>
        <w:spacing w:line="240" w:lineRule="auto"/>
        <w:ind w:firstLine="640"/>
        <w:rPr>
          <w:rFonts w:hint="eastAsia"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方正仿宋_GBK" w:cs="Times New Roman"/>
          <w:b/>
          <w:bCs/>
          <w:sz w:val="32"/>
          <w:szCs w:val="32"/>
        </w:rPr>
        <w:t>202</w:t>
      </w:r>
      <w:r>
        <w:rPr>
          <w:rFonts w:hint="eastAsia" w:eastAsia="方正仿宋_GBK" w:cs="Times New Roman"/>
          <w:b/>
          <w:bCs/>
          <w:sz w:val="32"/>
          <w:szCs w:val="32"/>
          <w:lang w:val="en-US" w:eastAsia="zh-CN"/>
        </w:rPr>
        <w:t>5</w:t>
      </w:r>
      <w:r>
        <w:rPr>
          <w:rFonts w:hint="default" w:ascii="Times New Roman" w:hAnsi="Times New Roman" w:eastAsia="方正仿宋_GBK" w:cs="Times New Roman"/>
          <w:sz w:val="32"/>
          <w:szCs w:val="32"/>
        </w:rPr>
        <w:t>年度政府性基金预算财政拨款支出</w:t>
      </w:r>
      <w:r>
        <w:rPr>
          <w:rFonts w:hint="default" w:ascii="Times New Roman" w:hAnsi="Times New Roman" w:eastAsia="方正仿宋_GBK" w:cs="Times New Roman"/>
          <w:b/>
          <w:sz w:val="32"/>
          <w:szCs w:val="32"/>
        </w:rPr>
        <w:t>0</w:t>
      </w:r>
      <w:r>
        <w:rPr>
          <w:rFonts w:hint="default" w:ascii="Times New Roman" w:hAnsi="Times New Roman" w:eastAsia="方正仿宋_GBK" w:cs="Times New Roman"/>
          <w:sz w:val="32"/>
          <w:szCs w:val="32"/>
        </w:rPr>
        <w:t>万元。</w:t>
      </w:r>
    </w:p>
    <w:p w14:paraId="627AF260">
      <w:pPr>
        <w:numPr>
          <w:ilvl w:val="0"/>
          <w:numId w:val="0"/>
        </w:numPr>
        <w:spacing w:line="600" w:lineRule="exact"/>
        <w:ind w:left="630" w:leftChars="0"/>
        <w:outlineLvl w:val="1"/>
        <w:rPr>
          <w:rStyle w:val="31"/>
          <w:rFonts w:ascii="Times New Roman" w:hAnsi="Times New Roman" w:eastAsia="黑体"/>
          <w:b w:val="0"/>
          <w:color w:val="auto"/>
          <w:highlight w:val="none"/>
        </w:rPr>
      </w:pPr>
      <w:bookmarkStart w:id="67" w:name="_Toc31628"/>
      <w:bookmarkStart w:id="68" w:name="_Toc28060"/>
      <w:bookmarkStart w:id="69" w:name="_Toc15377219"/>
      <w:bookmarkStart w:id="70" w:name="_Toc15396611"/>
      <w:r>
        <w:rPr>
          <w:rStyle w:val="31"/>
          <w:rFonts w:hint="eastAsia" w:ascii="Times New Roman" w:hAnsi="Times New Roman" w:eastAsia="黑体"/>
          <w:b w:val="0"/>
          <w:color w:val="auto"/>
          <w:highlight w:val="none"/>
          <w:lang w:eastAsia="zh-CN"/>
        </w:rPr>
        <w:t>九、</w:t>
      </w:r>
      <w:r>
        <w:rPr>
          <w:rStyle w:val="31"/>
          <w:rFonts w:hint="eastAsia" w:ascii="Times New Roman" w:hAnsi="Times New Roman" w:eastAsia="黑体"/>
          <w:b w:val="0"/>
          <w:color w:val="auto"/>
          <w:highlight w:val="none"/>
        </w:rPr>
        <w:t>国有资本经营预算支出决算情况说明</w:t>
      </w:r>
      <w:bookmarkEnd w:id="67"/>
      <w:bookmarkEnd w:id="68"/>
      <w:bookmarkEnd w:id="69"/>
      <w:bookmarkEnd w:id="70"/>
    </w:p>
    <w:p w14:paraId="39E000E0">
      <w:pPr>
        <w:spacing w:line="240" w:lineRule="auto"/>
        <w:ind w:firstLine="640"/>
        <w:rPr>
          <w:rFonts w:hint="eastAsia"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方正仿宋_GBK" w:cs="Times New Roman"/>
          <w:b/>
          <w:bCs/>
          <w:sz w:val="32"/>
          <w:szCs w:val="32"/>
        </w:rPr>
        <w:t>202</w:t>
      </w:r>
      <w:r>
        <w:rPr>
          <w:rFonts w:hint="eastAsia" w:eastAsia="方正仿宋_GBK" w:cs="Times New Roman"/>
          <w:b/>
          <w:bCs/>
          <w:sz w:val="32"/>
          <w:szCs w:val="32"/>
          <w:lang w:val="en-US" w:eastAsia="zh-CN"/>
        </w:rPr>
        <w:t>5</w:t>
      </w:r>
      <w:r>
        <w:rPr>
          <w:rFonts w:hint="default" w:ascii="Times New Roman" w:hAnsi="Times New Roman" w:eastAsia="方正仿宋_GBK" w:cs="Times New Roman"/>
          <w:sz w:val="32"/>
          <w:szCs w:val="32"/>
        </w:rPr>
        <w:t>年度国有资本经营预算财政拨款支出</w:t>
      </w:r>
      <w:r>
        <w:rPr>
          <w:rFonts w:hint="default" w:ascii="Times New Roman" w:hAnsi="Times New Roman" w:eastAsia="方正仿宋_GBK" w:cs="Times New Roman"/>
          <w:b/>
          <w:sz w:val="32"/>
          <w:szCs w:val="32"/>
        </w:rPr>
        <w:t>0</w:t>
      </w:r>
      <w:r>
        <w:rPr>
          <w:rFonts w:hint="default" w:ascii="Times New Roman" w:hAnsi="Times New Roman" w:eastAsia="方正仿宋_GBK" w:cs="Times New Roman"/>
          <w:sz w:val="32"/>
          <w:szCs w:val="32"/>
        </w:rPr>
        <w:t>万元。</w:t>
      </w:r>
    </w:p>
    <w:p w14:paraId="272BAEB5">
      <w:pPr>
        <w:numPr>
          <w:ilvl w:val="0"/>
          <w:numId w:val="0"/>
        </w:numPr>
        <w:spacing w:line="600" w:lineRule="exact"/>
        <w:ind w:left="630" w:leftChars="0"/>
        <w:outlineLvl w:val="1"/>
        <w:rPr>
          <w:rStyle w:val="31"/>
          <w:rFonts w:hint="eastAsia" w:ascii="Times New Roman" w:hAnsi="Times New Roman" w:eastAsia="黑体"/>
          <w:b w:val="0"/>
          <w:color w:val="auto"/>
          <w:highlight w:val="none"/>
        </w:rPr>
      </w:pPr>
      <w:bookmarkStart w:id="71" w:name="_Toc7991"/>
      <w:r>
        <w:rPr>
          <w:rStyle w:val="31"/>
          <w:rFonts w:hint="eastAsia" w:ascii="Times New Roman" w:hAnsi="Times New Roman" w:eastAsia="黑体"/>
          <w:b w:val="0"/>
          <w:color w:val="auto"/>
          <w:highlight w:val="none"/>
          <w:lang w:eastAsia="zh-CN"/>
        </w:rPr>
        <w:t>十、</w:t>
      </w:r>
      <w:r>
        <w:rPr>
          <w:rStyle w:val="31"/>
          <w:rFonts w:hint="eastAsia" w:ascii="Times New Roman" w:hAnsi="Times New Roman" w:eastAsia="黑体"/>
          <w:b w:val="0"/>
          <w:color w:val="auto"/>
          <w:highlight w:val="none"/>
        </w:rPr>
        <w:t>其他重要事项的情况说明</w:t>
      </w:r>
      <w:bookmarkEnd w:id="65"/>
      <w:bookmarkEnd w:id="66"/>
      <w:bookmarkEnd w:id="71"/>
    </w:p>
    <w:p w14:paraId="7D507DD7">
      <w:pPr>
        <w:spacing w:line="600" w:lineRule="exact"/>
        <w:ind w:firstLine="643" w:firstLineChars="200"/>
        <w:outlineLvl w:val="9"/>
        <w:rPr>
          <w:rFonts w:hint="eastAsia" w:ascii="方正楷体_GBK" w:hAnsi="方正楷体_GBK" w:eastAsia="方正楷体_GBK" w:cs="方正楷体_GBK"/>
          <w:b/>
          <w:color w:val="auto"/>
          <w:sz w:val="32"/>
          <w:szCs w:val="32"/>
          <w:highlight w:val="none"/>
        </w:rPr>
      </w:pPr>
      <w:bookmarkStart w:id="72" w:name="_Toc15377222"/>
      <w:r>
        <w:rPr>
          <w:rFonts w:hint="eastAsia" w:ascii="方正楷体_GBK" w:hAnsi="方正楷体_GBK" w:eastAsia="方正楷体_GBK" w:cs="方正楷体_GBK"/>
          <w:b/>
          <w:color w:val="auto"/>
          <w:sz w:val="32"/>
          <w:szCs w:val="32"/>
          <w:highlight w:val="none"/>
        </w:rPr>
        <w:t>（一）机关运行经费支出情况</w:t>
      </w:r>
      <w:bookmarkEnd w:id="72"/>
    </w:p>
    <w:p w14:paraId="7EC218FF">
      <w:pPr>
        <w:spacing w:line="600" w:lineRule="exact"/>
        <w:ind w:firstLine="640"/>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b/>
          <w:bCs/>
          <w:color w:val="auto"/>
          <w:kern w:val="2"/>
          <w:sz w:val="32"/>
          <w:szCs w:val="32"/>
          <w:highlight w:val="none"/>
          <w:lang w:val="en-US" w:eastAsia="zh-CN" w:bidi="ar-SA"/>
        </w:rPr>
        <w:t>2025</w:t>
      </w:r>
      <w:r>
        <w:rPr>
          <w:rFonts w:hint="default" w:ascii="Times New Roman" w:hAnsi="Times New Roman" w:eastAsia="方正仿宋_GBK" w:cs="Times New Roman"/>
          <w:color w:val="auto"/>
          <w:kern w:val="2"/>
          <w:sz w:val="32"/>
          <w:szCs w:val="32"/>
          <w:highlight w:val="none"/>
          <w:lang w:val="en-US" w:eastAsia="zh-CN" w:bidi="ar-SA"/>
        </w:rPr>
        <w:t>年度，</w:t>
      </w:r>
      <w:r>
        <w:rPr>
          <w:rFonts w:hint="default" w:ascii="Times New Roman" w:hAnsi="Times New Roman" w:eastAsia="方正仿宋_GBK" w:cs="Times New Roman"/>
          <w:sz w:val="32"/>
          <w:szCs w:val="32"/>
        </w:rPr>
        <w:t>中国共产党攀枝花市纪律检查委员会</w:t>
      </w:r>
      <w:r>
        <w:rPr>
          <w:rFonts w:hint="default" w:ascii="Times New Roman" w:hAnsi="Times New Roman" w:eastAsia="方正仿宋_GBK" w:cs="Times New Roman"/>
          <w:color w:val="auto"/>
          <w:kern w:val="2"/>
          <w:sz w:val="32"/>
          <w:szCs w:val="32"/>
          <w:highlight w:val="none"/>
          <w:lang w:val="en-US" w:eastAsia="zh-CN" w:bidi="ar-SA"/>
        </w:rPr>
        <w:t>机关运行经费支出</w:t>
      </w:r>
      <w:r>
        <w:rPr>
          <w:rFonts w:hint="default" w:ascii="Times New Roman" w:hAnsi="Times New Roman" w:eastAsia="方正仿宋_GBK" w:cs="Times New Roman"/>
          <w:b/>
          <w:bCs/>
          <w:sz w:val="32"/>
          <w:szCs w:val="32"/>
        </w:rPr>
        <w:t>283.44</w:t>
      </w:r>
      <w:r>
        <w:rPr>
          <w:rFonts w:hint="default" w:ascii="Times New Roman" w:hAnsi="Times New Roman" w:eastAsia="方正仿宋_GBK" w:cs="Times New Roman"/>
          <w:color w:val="auto"/>
          <w:kern w:val="2"/>
          <w:sz w:val="32"/>
          <w:szCs w:val="32"/>
          <w:highlight w:val="none"/>
          <w:lang w:val="en-US" w:eastAsia="zh-CN" w:bidi="ar-SA"/>
        </w:rPr>
        <w:t>万元，比上年度减少</w:t>
      </w:r>
      <w:r>
        <w:rPr>
          <w:rFonts w:hint="default" w:ascii="Times New Roman" w:hAnsi="Times New Roman" w:eastAsia="方正仿宋_GBK" w:cs="Times New Roman"/>
          <w:b/>
          <w:bCs/>
          <w:color w:val="auto"/>
          <w:kern w:val="2"/>
          <w:sz w:val="32"/>
          <w:szCs w:val="32"/>
          <w:highlight w:val="none"/>
          <w:lang w:val="en-US" w:eastAsia="zh-CN" w:bidi="ar-SA"/>
        </w:rPr>
        <w:t>11.83</w:t>
      </w:r>
      <w:r>
        <w:rPr>
          <w:rFonts w:hint="default" w:ascii="Times New Roman" w:hAnsi="Times New Roman" w:eastAsia="方正仿宋_GBK" w:cs="Times New Roman"/>
          <w:color w:val="auto"/>
          <w:kern w:val="2"/>
          <w:sz w:val="32"/>
          <w:szCs w:val="32"/>
          <w:highlight w:val="none"/>
          <w:lang w:val="en-US" w:eastAsia="zh-CN" w:bidi="ar-SA"/>
        </w:rPr>
        <w:t>万元，下降</w:t>
      </w:r>
      <w:r>
        <w:rPr>
          <w:rFonts w:hint="default" w:ascii="Times New Roman" w:hAnsi="Times New Roman" w:eastAsia="方正仿宋_GBK" w:cs="Times New Roman"/>
          <w:b/>
          <w:bCs/>
          <w:color w:val="auto"/>
          <w:kern w:val="2"/>
          <w:sz w:val="32"/>
          <w:szCs w:val="32"/>
          <w:highlight w:val="none"/>
          <w:lang w:val="en-US" w:eastAsia="zh-CN" w:bidi="ar-SA"/>
        </w:rPr>
        <w:t>4.01%</w:t>
      </w:r>
      <w:r>
        <w:rPr>
          <w:rFonts w:hint="default" w:ascii="Times New Roman" w:hAnsi="Times New Roman" w:eastAsia="方正仿宋_GBK" w:cs="Times New Roman"/>
          <w:color w:val="auto"/>
          <w:kern w:val="2"/>
          <w:sz w:val="32"/>
          <w:szCs w:val="32"/>
          <w:highlight w:val="none"/>
          <w:lang w:val="en-US" w:eastAsia="zh-CN" w:bidi="ar-SA"/>
        </w:rPr>
        <w:t>。主要原因是保障机关基本支出减少。</w:t>
      </w:r>
    </w:p>
    <w:p w14:paraId="77F331B6">
      <w:pPr>
        <w:spacing w:line="600" w:lineRule="exact"/>
        <w:ind w:firstLine="643" w:firstLineChars="200"/>
        <w:outlineLvl w:val="9"/>
        <w:rPr>
          <w:rFonts w:hint="eastAsia" w:ascii="方正楷体_GBK" w:hAnsi="方正楷体_GBK" w:eastAsia="方正楷体_GBK" w:cs="方正楷体_GBK"/>
          <w:b/>
          <w:color w:val="auto"/>
          <w:sz w:val="32"/>
          <w:szCs w:val="32"/>
          <w:highlight w:val="none"/>
        </w:rPr>
      </w:pPr>
      <w:bookmarkStart w:id="73" w:name="_Toc15377223"/>
      <w:r>
        <w:rPr>
          <w:rFonts w:hint="eastAsia" w:ascii="方正楷体_GBK" w:hAnsi="方正楷体_GBK" w:eastAsia="方正楷体_GBK" w:cs="方正楷体_GBK"/>
          <w:b/>
          <w:color w:val="auto"/>
          <w:sz w:val="32"/>
          <w:szCs w:val="32"/>
          <w:highlight w:val="none"/>
        </w:rPr>
        <w:t>（二）政府采购支出情况</w:t>
      </w:r>
      <w:bookmarkEnd w:id="73"/>
    </w:p>
    <w:p w14:paraId="2DE22CD6">
      <w:pPr>
        <w:spacing w:line="600" w:lineRule="exact"/>
        <w:ind w:firstLine="640"/>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b/>
          <w:bCs/>
          <w:color w:val="auto"/>
          <w:kern w:val="2"/>
          <w:sz w:val="32"/>
          <w:szCs w:val="32"/>
          <w:highlight w:val="none"/>
          <w:lang w:val="en-US" w:eastAsia="zh-CN" w:bidi="ar-SA"/>
        </w:rPr>
        <w:t>2025</w:t>
      </w:r>
      <w:r>
        <w:rPr>
          <w:rFonts w:hint="default" w:ascii="Times New Roman" w:hAnsi="Times New Roman" w:eastAsia="方正仿宋_GBK" w:cs="Times New Roman"/>
          <w:color w:val="auto"/>
          <w:kern w:val="2"/>
          <w:sz w:val="32"/>
          <w:szCs w:val="32"/>
          <w:highlight w:val="none"/>
          <w:lang w:val="en-US" w:eastAsia="zh-CN" w:bidi="ar-SA"/>
        </w:rPr>
        <w:t>年度，</w:t>
      </w:r>
      <w:r>
        <w:rPr>
          <w:rFonts w:hint="default" w:ascii="Times New Roman" w:hAnsi="Times New Roman" w:eastAsia="方正仿宋_GBK" w:cs="Times New Roman"/>
          <w:sz w:val="32"/>
          <w:szCs w:val="32"/>
        </w:rPr>
        <w:t>中国共产党攀枝花市纪律检查委员会</w:t>
      </w:r>
      <w:r>
        <w:rPr>
          <w:rFonts w:hint="default" w:ascii="Times New Roman" w:hAnsi="Times New Roman" w:eastAsia="方正仿宋_GBK" w:cs="Times New Roman"/>
          <w:color w:val="auto"/>
          <w:kern w:val="2"/>
          <w:sz w:val="32"/>
          <w:szCs w:val="32"/>
          <w:highlight w:val="none"/>
          <w:lang w:val="en-US" w:eastAsia="zh-CN" w:bidi="ar-SA"/>
        </w:rPr>
        <w:t>政府采购支出总额</w:t>
      </w:r>
      <w:r>
        <w:rPr>
          <w:rFonts w:hint="default" w:ascii="Times New Roman" w:hAnsi="Times New Roman" w:eastAsia="方正仿宋_GBK" w:cs="Times New Roman"/>
          <w:b/>
          <w:bCs/>
          <w:sz w:val="32"/>
          <w:szCs w:val="32"/>
          <w:lang w:val="en-US" w:eastAsia="zh-CN"/>
        </w:rPr>
        <w:t>38.86</w:t>
      </w:r>
      <w:r>
        <w:rPr>
          <w:rFonts w:hint="default" w:ascii="Times New Roman" w:hAnsi="Times New Roman" w:eastAsia="方正仿宋_GBK" w:cs="Times New Roman"/>
          <w:color w:val="auto"/>
          <w:kern w:val="2"/>
          <w:sz w:val="32"/>
          <w:szCs w:val="32"/>
          <w:highlight w:val="none"/>
          <w:lang w:val="en-US" w:eastAsia="zh-CN" w:bidi="ar-SA"/>
        </w:rPr>
        <w:t>万元，其中：政府采购货物支出</w:t>
      </w:r>
      <w:r>
        <w:rPr>
          <w:rFonts w:hint="default" w:ascii="Times New Roman" w:hAnsi="Times New Roman" w:eastAsia="方正仿宋_GBK" w:cs="Times New Roman"/>
          <w:b/>
          <w:bCs/>
          <w:sz w:val="32"/>
          <w:szCs w:val="32"/>
          <w:lang w:val="en-US" w:eastAsia="zh-CN"/>
        </w:rPr>
        <w:t>21.42</w:t>
      </w:r>
      <w:r>
        <w:rPr>
          <w:rFonts w:hint="default" w:ascii="Times New Roman" w:hAnsi="Times New Roman" w:eastAsia="方正仿宋_GBK" w:cs="Times New Roman"/>
          <w:color w:val="auto"/>
          <w:kern w:val="2"/>
          <w:sz w:val="32"/>
          <w:szCs w:val="32"/>
          <w:highlight w:val="none"/>
          <w:lang w:val="en-US" w:eastAsia="zh-CN" w:bidi="ar-SA"/>
        </w:rPr>
        <w:t>万元、政府采购工程支出</w:t>
      </w:r>
      <w:r>
        <w:rPr>
          <w:rFonts w:hint="default" w:ascii="Times New Roman" w:hAnsi="Times New Roman" w:eastAsia="方正仿宋_GBK" w:cs="Times New Roman"/>
          <w:b/>
          <w:bCs/>
          <w:sz w:val="32"/>
          <w:szCs w:val="32"/>
        </w:rPr>
        <w:t>0</w:t>
      </w:r>
      <w:r>
        <w:rPr>
          <w:rFonts w:hint="default" w:ascii="Times New Roman" w:hAnsi="Times New Roman" w:eastAsia="方正仿宋_GBK" w:cs="Times New Roman"/>
          <w:color w:val="auto"/>
          <w:kern w:val="2"/>
          <w:sz w:val="32"/>
          <w:szCs w:val="32"/>
          <w:highlight w:val="none"/>
          <w:lang w:val="en-US" w:eastAsia="zh-CN" w:bidi="ar-SA"/>
        </w:rPr>
        <w:t>万元、政府采购服务支出</w:t>
      </w:r>
      <w:r>
        <w:rPr>
          <w:rFonts w:hint="default" w:ascii="Times New Roman" w:hAnsi="Times New Roman" w:eastAsia="方正仿宋_GBK" w:cs="Times New Roman"/>
          <w:b/>
          <w:bCs/>
          <w:sz w:val="32"/>
          <w:szCs w:val="32"/>
        </w:rPr>
        <w:t>17.44</w:t>
      </w:r>
      <w:r>
        <w:rPr>
          <w:rFonts w:hint="default" w:ascii="Times New Roman" w:hAnsi="Times New Roman" w:eastAsia="方正仿宋_GBK" w:cs="Times New Roman"/>
          <w:color w:val="auto"/>
          <w:kern w:val="2"/>
          <w:sz w:val="32"/>
          <w:szCs w:val="32"/>
          <w:highlight w:val="none"/>
          <w:lang w:val="en-US" w:eastAsia="zh-CN" w:bidi="ar-SA"/>
        </w:rPr>
        <w:t>万元。主要用于公务用车保险费、燃油费、维修费和办公设备采购。授予中小企业合同金额</w:t>
      </w:r>
      <w:r>
        <w:rPr>
          <w:rFonts w:hint="default" w:ascii="Times New Roman" w:hAnsi="Times New Roman" w:eastAsia="方正仿宋_GBK" w:cs="Times New Roman"/>
          <w:b/>
          <w:bCs/>
          <w:sz w:val="32"/>
          <w:szCs w:val="32"/>
          <w:lang w:val="en-US" w:eastAsia="zh-CN"/>
        </w:rPr>
        <w:t>36.54</w:t>
      </w:r>
      <w:r>
        <w:rPr>
          <w:rFonts w:hint="default" w:ascii="Times New Roman" w:hAnsi="Times New Roman" w:eastAsia="方正仿宋_GBK" w:cs="Times New Roman"/>
          <w:color w:val="auto"/>
          <w:kern w:val="2"/>
          <w:sz w:val="32"/>
          <w:szCs w:val="32"/>
          <w:highlight w:val="none"/>
          <w:lang w:val="en-US" w:eastAsia="zh-CN" w:bidi="ar-SA"/>
        </w:rPr>
        <w:t>万元，占政府采购支出总额的</w:t>
      </w:r>
      <w:r>
        <w:rPr>
          <w:rFonts w:hint="default" w:ascii="Times New Roman" w:hAnsi="Times New Roman" w:eastAsia="方正仿宋_GBK" w:cs="Times New Roman"/>
          <w:b/>
          <w:bCs/>
          <w:sz w:val="32"/>
          <w:szCs w:val="32"/>
          <w:lang w:val="en-US" w:eastAsia="zh-CN"/>
        </w:rPr>
        <w:t>94.03</w:t>
      </w:r>
      <w:r>
        <w:rPr>
          <w:rFonts w:hint="default" w:ascii="Times New Roman" w:hAnsi="Times New Roman" w:eastAsia="方正仿宋_GBK" w:cs="Times New Roman"/>
          <w:b/>
          <w:bCs/>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，其中：授予小微企业合同金额</w:t>
      </w:r>
      <w:r>
        <w:rPr>
          <w:rFonts w:hint="default" w:ascii="Times New Roman" w:hAnsi="Times New Roman" w:eastAsia="方正仿宋_GBK" w:cs="Times New Roman"/>
          <w:b/>
          <w:bCs/>
          <w:sz w:val="32"/>
          <w:szCs w:val="32"/>
          <w:lang w:val="en-US" w:eastAsia="zh-CN"/>
        </w:rPr>
        <w:t>32.04</w:t>
      </w:r>
      <w:r>
        <w:rPr>
          <w:rFonts w:hint="default" w:ascii="Times New Roman" w:hAnsi="Times New Roman" w:eastAsia="方正仿宋_GBK" w:cs="Times New Roman"/>
          <w:color w:val="auto"/>
          <w:kern w:val="2"/>
          <w:sz w:val="32"/>
          <w:szCs w:val="32"/>
          <w:highlight w:val="none"/>
          <w:lang w:val="en-US" w:eastAsia="zh-CN" w:bidi="ar-SA"/>
        </w:rPr>
        <w:t>万元，占政府采购支出总额的</w:t>
      </w:r>
      <w:r>
        <w:rPr>
          <w:rFonts w:hint="default" w:ascii="Times New Roman" w:hAnsi="Times New Roman" w:eastAsia="方正仿宋_GBK" w:cs="Times New Roman"/>
          <w:b/>
          <w:bCs/>
          <w:sz w:val="32"/>
          <w:szCs w:val="32"/>
          <w:lang w:val="en-US" w:eastAsia="zh-CN"/>
        </w:rPr>
        <w:t>82.45</w:t>
      </w:r>
      <w:r>
        <w:rPr>
          <w:rFonts w:hint="default" w:ascii="Times New Roman" w:hAnsi="Times New Roman" w:eastAsia="方正仿宋_GBK" w:cs="Times New Roman"/>
          <w:b/>
          <w:bCs/>
          <w:color w:val="auto"/>
          <w:kern w:val="2"/>
          <w:sz w:val="32"/>
          <w:szCs w:val="32"/>
          <w:highlight w:val="none"/>
          <w:lang w:val="en-US" w:eastAsia="zh-CN" w:bidi="ar-SA"/>
        </w:rPr>
        <w:t>%</w:t>
      </w:r>
      <w:r>
        <w:rPr>
          <w:rFonts w:hint="default" w:ascii="Times New Roman" w:hAnsi="Times New Roman" w:eastAsia="方正仿宋_GBK" w:cs="Times New Roman"/>
          <w:color w:val="auto"/>
          <w:kern w:val="2"/>
          <w:sz w:val="32"/>
          <w:szCs w:val="32"/>
          <w:highlight w:val="none"/>
          <w:lang w:val="en-US" w:eastAsia="zh-CN" w:bidi="ar-SA"/>
        </w:rPr>
        <w:t>。</w:t>
      </w:r>
    </w:p>
    <w:p w14:paraId="0075F06E">
      <w:pPr>
        <w:spacing w:line="600" w:lineRule="exact"/>
        <w:ind w:firstLine="643" w:firstLineChars="200"/>
        <w:outlineLvl w:val="9"/>
        <w:rPr>
          <w:rFonts w:hint="eastAsia" w:ascii="方正楷体_GBK" w:hAnsi="方正楷体_GBK" w:eastAsia="方正楷体_GBK" w:cs="方正楷体_GBK"/>
          <w:b/>
          <w:color w:val="auto"/>
          <w:sz w:val="32"/>
          <w:szCs w:val="32"/>
          <w:highlight w:val="none"/>
        </w:rPr>
      </w:pPr>
      <w:bookmarkStart w:id="74" w:name="_Toc15377224"/>
      <w:r>
        <w:rPr>
          <w:rFonts w:hint="eastAsia" w:ascii="方正楷体_GBK" w:hAnsi="方正楷体_GBK" w:eastAsia="方正楷体_GBK" w:cs="方正楷体_GBK"/>
          <w:b/>
          <w:color w:val="auto"/>
          <w:sz w:val="32"/>
          <w:szCs w:val="32"/>
          <w:highlight w:val="none"/>
        </w:rPr>
        <w:t>（三）国有资产占有使用情况</w:t>
      </w:r>
      <w:bookmarkEnd w:id="74"/>
    </w:p>
    <w:p w14:paraId="165B5B9D">
      <w:pPr>
        <w:autoSpaceDE w:val="0"/>
        <w:autoSpaceDN w:val="0"/>
        <w:adjustRightInd w:val="0"/>
        <w:spacing w:line="240" w:lineRule="auto"/>
        <w:ind w:firstLine="640" w:firstLineChars="200"/>
        <w:jc w:val="left"/>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截至</w:t>
      </w:r>
      <w:r>
        <w:rPr>
          <w:rFonts w:hint="default" w:ascii="Times New Roman" w:hAnsi="Times New Roman" w:eastAsia="方正仿宋_GBK" w:cs="Times New Roman"/>
          <w:b/>
          <w:bCs/>
          <w:color w:val="auto"/>
          <w:kern w:val="2"/>
          <w:sz w:val="32"/>
          <w:szCs w:val="32"/>
          <w:highlight w:val="none"/>
          <w:lang w:val="en-US" w:eastAsia="zh-CN" w:bidi="ar-SA"/>
        </w:rPr>
        <w:t>2025</w:t>
      </w:r>
      <w:r>
        <w:rPr>
          <w:rFonts w:hint="default" w:ascii="Times New Roman" w:hAnsi="Times New Roman" w:eastAsia="方正仿宋_GBK" w:cs="Times New Roman"/>
          <w:color w:val="auto"/>
          <w:kern w:val="2"/>
          <w:sz w:val="32"/>
          <w:szCs w:val="32"/>
          <w:highlight w:val="none"/>
          <w:lang w:val="en-US" w:eastAsia="zh-CN" w:bidi="ar-SA"/>
        </w:rPr>
        <w:t>年</w:t>
      </w:r>
      <w:r>
        <w:rPr>
          <w:rFonts w:hint="default" w:ascii="Times New Roman" w:hAnsi="Times New Roman" w:eastAsia="方正仿宋_GBK" w:cs="Times New Roman"/>
          <w:b/>
          <w:bCs/>
          <w:color w:val="auto"/>
          <w:kern w:val="2"/>
          <w:sz w:val="32"/>
          <w:szCs w:val="32"/>
          <w:highlight w:val="none"/>
          <w:lang w:val="en-US" w:eastAsia="zh-CN" w:bidi="ar-SA"/>
        </w:rPr>
        <w:t>12</w:t>
      </w:r>
      <w:r>
        <w:rPr>
          <w:rFonts w:hint="default" w:ascii="Times New Roman" w:hAnsi="Times New Roman" w:eastAsia="方正仿宋_GBK" w:cs="Times New Roman"/>
          <w:color w:val="auto"/>
          <w:kern w:val="2"/>
          <w:sz w:val="32"/>
          <w:szCs w:val="32"/>
          <w:highlight w:val="none"/>
          <w:lang w:val="en-US" w:eastAsia="zh-CN" w:bidi="ar-SA"/>
        </w:rPr>
        <w:t>月</w:t>
      </w:r>
      <w:r>
        <w:rPr>
          <w:rFonts w:hint="default" w:ascii="Times New Roman" w:hAnsi="Times New Roman" w:eastAsia="方正仿宋_GBK" w:cs="Times New Roman"/>
          <w:b/>
          <w:bCs/>
          <w:color w:val="auto"/>
          <w:kern w:val="2"/>
          <w:sz w:val="32"/>
          <w:szCs w:val="32"/>
          <w:highlight w:val="none"/>
          <w:lang w:val="en-US" w:eastAsia="zh-CN" w:bidi="ar-SA"/>
        </w:rPr>
        <w:t>31</w:t>
      </w:r>
      <w:r>
        <w:rPr>
          <w:rFonts w:hint="default" w:ascii="Times New Roman" w:hAnsi="Times New Roman" w:eastAsia="方正仿宋_GBK" w:cs="Times New Roman"/>
          <w:color w:val="auto"/>
          <w:kern w:val="2"/>
          <w:sz w:val="32"/>
          <w:szCs w:val="32"/>
          <w:highlight w:val="none"/>
          <w:lang w:val="en-US" w:eastAsia="zh-CN" w:bidi="ar-SA"/>
        </w:rPr>
        <w:t>日，</w:t>
      </w:r>
      <w:r>
        <w:rPr>
          <w:rFonts w:hint="default" w:ascii="Times New Roman" w:hAnsi="Times New Roman" w:eastAsia="方正仿宋_GBK" w:cs="Times New Roman"/>
          <w:sz w:val="32"/>
          <w:szCs w:val="32"/>
        </w:rPr>
        <w:t>中国共产党攀枝花市纪律检查委员会</w:t>
      </w:r>
      <w:r>
        <w:rPr>
          <w:rFonts w:hint="default" w:ascii="Times New Roman" w:hAnsi="Times New Roman" w:eastAsia="方正仿宋_GBK" w:cs="Times New Roman"/>
          <w:color w:val="auto"/>
          <w:kern w:val="2"/>
          <w:sz w:val="32"/>
          <w:szCs w:val="32"/>
          <w:highlight w:val="none"/>
          <w:lang w:val="en-US" w:eastAsia="zh-CN" w:bidi="ar-SA"/>
        </w:rPr>
        <w:t>共有车辆</w:t>
      </w:r>
      <w:r>
        <w:rPr>
          <w:rFonts w:hint="eastAsia" w:eastAsia="方正仿宋_GBK" w:cs="Times New Roman"/>
          <w:b/>
          <w:bCs/>
          <w:sz w:val="32"/>
          <w:szCs w:val="32"/>
          <w:lang w:val="en-US" w:eastAsia="zh-CN"/>
        </w:rPr>
        <w:t>14</w:t>
      </w:r>
      <w:r>
        <w:rPr>
          <w:rFonts w:hint="default" w:ascii="Times New Roman" w:hAnsi="Times New Roman" w:eastAsia="方正仿宋_GBK" w:cs="Times New Roman"/>
          <w:color w:val="auto"/>
          <w:kern w:val="2"/>
          <w:sz w:val="32"/>
          <w:szCs w:val="32"/>
          <w:highlight w:val="none"/>
          <w:lang w:val="en-US" w:eastAsia="zh-CN" w:bidi="ar-SA"/>
        </w:rPr>
        <w:t>辆，</w:t>
      </w:r>
      <w:r>
        <w:rPr>
          <w:rFonts w:hint="default" w:ascii="Times New Roman" w:hAnsi="Times New Roman" w:eastAsia="方正仿宋_GBK" w:cs="Times New Roman"/>
          <w:sz w:val="32"/>
          <w:szCs w:val="32"/>
        </w:rPr>
        <w:t>其中：主要领导干部用车</w:t>
      </w:r>
      <w:r>
        <w:rPr>
          <w:rFonts w:hint="default" w:ascii="Times New Roman" w:hAnsi="Times New Roman" w:eastAsia="方正仿宋_GBK" w:cs="Times New Roman"/>
          <w:b/>
          <w:bCs/>
          <w:sz w:val="32"/>
          <w:szCs w:val="32"/>
          <w:lang w:eastAsia="zh-CN"/>
        </w:rPr>
        <w:t>0</w:t>
      </w:r>
      <w:r>
        <w:rPr>
          <w:rFonts w:hint="default" w:ascii="Times New Roman" w:hAnsi="Times New Roman" w:eastAsia="方正仿宋_GBK" w:cs="Times New Roman"/>
          <w:sz w:val="32"/>
          <w:szCs w:val="32"/>
        </w:rPr>
        <w:t>辆、机要通信用车</w:t>
      </w:r>
      <w:r>
        <w:rPr>
          <w:rFonts w:hint="default" w:ascii="Times New Roman" w:hAnsi="Times New Roman" w:eastAsia="方正仿宋_GBK" w:cs="Times New Roman"/>
          <w:b/>
          <w:bCs/>
          <w:sz w:val="32"/>
          <w:szCs w:val="32"/>
          <w:lang w:eastAsia="zh-CN"/>
        </w:rPr>
        <w:t>0</w:t>
      </w:r>
      <w:r>
        <w:rPr>
          <w:rFonts w:hint="default" w:ascii="Times New Roman" w:hAnsi="Times New Roman" w:eastAsia="方正仿宋_GBK" w:cs="Times New Roman"/>
          <w:sz w:val="32"/>
          <w:szCs w:val="32"/>
        </w:rPr>
        <w:t>辆、应急保障用车</w:t>
      </w:r>
      <w:r>
        <w:rPr>
          <w:rFonts w:hint="default" w:ascii="Times New Roman" w:hAnsi="Times New Roman" w:eastAsia="方正仿宋_GBK" w:cs="Times New Roman"/>
          <w:b/>
          <w:bCs/>
          <w:sz w:val="32"/>
          <w:szCs w:val="32"/>
          <w:lang w:eastAsia="zh-CN"/>
        </w:rPr>
        <w:t>0</w:t>
      </w:r>
      <w:r>
        <w:rPr>
          <w:rFonts w:hint="default" w:ascii="Times New Roman" w:hAnsi="Times New Roman" w:eastAsia="方正仿宋_GBK" w:cs="Times New Roman"/>
          <w:sz w:val="32"/>
          <w:szCs w:val="32"/>
        </w:rPr>
        <w:t>辆、</w:t>
      </w:r>
      <w:r>
        <w:rPr>
          <w:rFonts w:hint="default" w:ascii="Times New Roman" w:hAnsi="Times New Roman" w:eastAsia="方正仿宋_GBK" w:cs="Times New Roman"/>
          <w:color w:val="000000"/>
          <w:kern w:val="0"/>
          <w:sz w:val="32"/>
          <w:szCs w:val="32"/>
        </w:rPr>
        <w:t>执法执勤车</w:t>
      </w:r>
      <w:r>
        <w:rPr>
          <w:rFonts w:hint="eastAsia" w:eastAsia="方正仿宋_GBK" w:cs="Times New Roman"/>
          <w:b/>
          <w:bCs/>
          <w:color w:val="000000"/>
          <w:kern w:val="0"/>
          <w:sz w:val="32"/>
          <w:szCs w:val="32"/>
          <w:lang w:val="en-US" w:eastAsia="zh-CN"/>
        </w:rPr>
        <w:t>14</w:t>
      </w:r>
      <w:r>
        <w:rPr>
          <w:rFonts w:hint="default" w:ascii="Times New Roman" w:hAnsi="Times New Roman" w:eastAsia="方正仿宋_GBK" w:cs="Times New Roman"/>
          <w:color w:val="000000"/>
          <w:kern w:val="0"/>
          <w:sz w:val="32"/>
          <w:szCs w:val="32"/>
        </w:rPr>
        <w:t>辆</w:t>
      </w:r>
      <w:r>
        <w:rPr>
          <w:rFonts w:hint="default" w:ascii="Times New Roman" w:hAnsi="Times New Roman" w:eastAsia="方正仿宋_GBK" w:cs="Times New Roman"/>
          <w:color w:val="000000"/>
          <w:kern w:val="0"/>
          <w:sz w:val="32"/>
          <w:szCs w:val="32"/>
          <w:lang w:eastAsia="zh-CN"/>
        </w:rPr>
        <w:t>、</w:t>
      </w:r>
      <w:r>
        <w:rPr>
          <w:rFonts w:hint="default" w:ascii="Times New Roman" w:hAnsi="Times New Roman" w:eastAsia="方正仿宋_GBK" w:cs="Times New Roman"/>
          <w:sz w:val="32"/>
          <w:szCs w:val="32"/>
        </w:rPr>
        <w:t>其他用车</w:t>
      </w:r>
      <w:r>
        <w:rPr>
          <w:rFonts w:hint="eastAsia" w:eastAsia="方正仿宋_GBK" w:cs="Times New Roman"/>
          <w:b/>
          <w:bCs/>
          <w:sz w:val="32"/>
          <w:szCs w:val="32"/>
          <w:lang w:val="en-US" w:eastAsia="zh-CN"/>
        </w:rPr>
        <w:t>0</w:t>
      </w:r>
      <w:r>
        <w:rPr>
          <w:rFonts w:hint="default" w:ascii="Times New Roman" w:hAnsi="Times New Roman" w:eastAsia="方正仿宋_GBK" w:cs="Times New Roman"/>
          <w:sz w:val="32"/>
          <w:szCs w:val="32"/>
        </w:rPr>
        <w:t>辆</w:t>
      </w:r>
      <w:r>
        <w:rPr>
          <w:rFonts w:hint="eastAsia" w:eastAsia="方正仿宋_GBK" w:cs="Times New Roman"/>
          <w:sz w:val="32"/>
          <w:szCs w:val="32"/>
          <w:lang w:eastAsia="zh-CN"/>
        </w:rPr>
        <w:t>。</w:t>
      </w:r>
      <w:r>
        <w:rPr>
          <w:rFonts w:hint="default" w:ascii="Times New Roman" w:hAnsi="Times New Roman" w:eastAsia="方正仿宋_GBK" w:cs="Times New Roman"/>
          <w:sz w:val="32"/>
          <w:szCs w:val="32"/>
        </w:rPr>
        <w:t>单价</w:t>
      </w:r>
      <w:r>
        <w:rPr>
          <w:rFonts w:hint="default" w:ascii="Times New Roman" w:hAnsi="Times New Roman" w:eastAsia="方正仿宋_GBK" w:cs="Times New Roman"/>
          <w:b/>
          <w:bCs/>
          <w:sz w:val="32"/>
          <w:szCs w:val="32"/>
        </w:rPr>
        <w:t>100</w:t>
      </w:r>
      <w:r>
        <w:rPr>
          <w:rFonts w:hint="default" w:ascii="Times New Roman" w:hAnsi="Times New Roman" w:eastAsia="方正仿宋_GBK" w:cs="Times New Roman"/>
          <w:sz w:val="32"/>
          <w:szCs w:val="32"/>
        </w:rPr>
        <w:t>万元以上设备（不含车辆）</w:t>
      </w:r>
      <w:r>
        <w:rPr>
          <w:rFonts w:hint="default" w:ascii="Times New Roman" w:hAnsi="Times New Roman" w:eastAsia="方正仿宋_GBK" w:cs="Times New Roman"/>
          <w:b/>
          <w:sz w:val="32"/>
          <w:szCs w:val="32"/>
        </w:rPr>
        <w:t>0</w:t>
      </w:r>
      <w:r>
        <w:rPr>
          <w:rFonts w:hint="default" w:ascii="Times New Roman" w:hAnsi="Times New Roman" w:eastAsia="方正仿宋_GBK" w:cs="Times New Roman"/>
          <w:sz w:val="32"/>
          <w:szCs w:val="32"/>
        </w:rPr>
        <w:t>台（套）。</w:t>
      </w:r>
    </w:p>
    <w:p w14:paraId="05D509CF">
      <w:pPr>
        <w:spacing w:line="600" w:lineRule="exact"/>
        <w:ind w:firstLine="643" w:firstLineChars="200"/>
        <w:outlineLvl w:val="9"/>
        <w:rPr>
          <w:rFonts w:hint="eastAsia" w:ascii="方正楷体_GBK" w:hAnsi="方正楷体_GBK" w:eastAsia="方正楷体_GBK" w:cs="方正楷体_GBK"/>
          <w:b/>
          <w:color w:val="auto"/>
          <w:sz w:val="32"/>
          <w:szCs w:val="32"/>
          <w:highlight w:val="none"/>
        </w:rPr>
      </w:pPr>
      <w:r>
        <w:rPr>
          <w:rFonts w:hint="eastAsia" w:ascii="方正楷体_GBK" w:hAnsi="方正楷体_GBK" w:eastAsia="方正楷体_GBK" w:cs="方正楷体_GBK"/>
          <w:b/>
          <w:color w:val="auto"/>
          <w:sz w:val="32"/>
          <w:szCs w:val="32"/>
          <w:highlight w:val="none"/>
        </w:rPr>
        <w:t>（四）预算绩效管理情况</w:t>
      </w:r>
    </w:p>
    <w:p w14:paraId="303E8F37">
      <w:pPr>
        <w:spacing w:line="240" w:lineRule="auto"/>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方正仿宋_GBK" w:cs="Times New Roman"/>
          <w:color w:val="auto"/>
          <w:kern w:val="2"/>
          <w:sz w:val="32"/>
          <w:szCs w:val="32"/>
          <w:highlight w:val="none"/>
          <w:lang w:val="en-US" w:eastAsia="zh-CN" w:bidi="ar-SA"/>
        </w:rPr>
        <w:t>根据预算绩效管理要求，本</w:t>
      </w:r>
      <w:r>
        <w:rPr>
          <w:rFonts w:hint="eastAsia" w:eastAsia="方正仿宋_GBK" w:cs="Times New Roman"/>
          <w:color w:val="auto"/>
          <w:kern w:val="2"/>
          <w:sz w:val="32"/>
          <w:szCs w:val="32"/>
          <w:highlight w:val="none"/>
          <w:lang w:val="en-US" w:eastAsia="zh-CN" w:bidi="ar-SA"/>
        </w:rPr>
        <w:t>部门</w:t>
      </w:r>
      <w:r>
        <w:rPr>
          <w:rFonts w:hint="default" w:ascii="Times New Roman" w:hAnsi="Times New Roman" w:eastAsia="方正仿宋_GBK" w:cs="Times New Roman"/>
          <w:color w:val="auto"/>
          <w:kern w:val="2"/>
          <w:sz w:val="32"/>
          <w:szCs w:val="32"/>
          <w:highlight w:val="none"/>
          <w:lang w:val="en-US" w:eastAsia="zh-CN" w:bidi="ar-SA"/>
        </w:rPr>
        <w:t>在</w:t>
      </w:r>
      <w:r>
        <w:rPr>
          <w:rFonts w:hint="default" w:ascii="Times New Roman" w:hAnsi="Times New Roman" w:eastAsia="方正仿宋_GBK" w:cs="Times New Roman"/>
          <w:b/>
          <w:bCs/>
          <w:color w:val="auto"/>
          <w:kern w:val="2"/>
          <w:sz w:val="32"/>
          <w:szCs w:val="32"/>
          <w:highlight w:val="none"/>
          <w:lang w:val="en-US" w:eastAsia="zh-CN" w:bidi="ar-SA"/>
        </w:rPr>
        <w:t>202</w:t>
      </w:r>
      <w:r>
        <w:rPr>
          <w:rFonts w:hint="eastAsia" w:eastAsia="方正仿宋_GBK" w:cs="Times New Roman"/>
          <w:b/>
          <w:bCs/>
          <w:color w:val="auto"/>
          <w:kern w:val="2"/>
          <w:sz w:val="32"/>
          <w:szCs w:val="32"/>
          <w:highlight w:val="none"/>
          <w:lang w:val="en-US" w:eastAsia="zh-CN" w:bidi="ar-SA"/>
        </w:rPr>
        <w:t>5</w:t>
      </w:r>
      <w:r>
        <w:rPr>
          <w:rFonts w:hint="default" w:ascii="Times New Roman" w:hAnsi="Times New Roman" w:eastAsia="方正仿宋_GBK" w:cs="Times New Roman"/>
          <w:color w:val="auto"/>
          <w:kern w:val="2"/>
          <w:sz w:val="32"/>
          <w:szCs w:val="32"/>
          <w:highlight w:val="none"/>
          <w:lang w:val="en-US" w:eastAsia="zh-CN" w:bidi="ar-SA"/>
        </w:rPr>
        <w:t>年度预算编制阶段，组织对纪委</w:t>
      </w:r>
      <w:r>
        <w:rPr>
          <w:rFonts w:hint="default" w:ascii="Times New Roman" w:hAnsi="Times New Roman" w:eastAsia="方正仿宋_GBK" w:cs="Times New Roman"/>
          <w:sz w:val="32"/>
          <w:szCs w:val="32"/>
          <w:lang w:val="en-US" w:eastAsia="zh-CN"/>
        </w:rPr>
        <w:t>监委综合业务费、要案（留置案件）经费</w:t>
      </w:r>
      <w:r>
        <w:rPr>
          <w:rFonts w:hint="default" w:ascii="Times New Roman" w:hAnsi="Times New Roman" w:eastAsia="方正仿宋_GBK" w:cs="Times New Roman"/>
          <w:sz w:val="32"/>
          <w:szCs w:val="32"/>
        </w:rPr>
        <w:t>项目</w:t>
      </w:r>
      <w:r>
        <w:rPr>
          <w:rFonts w:hint="default" w:ascii="Times New Roman" w:hAnsi="Times New Roman" w:eastAsia="方正仿宋_GBK" w:cs="Times New Roman"/>
          <w:color w:val="auto"/>
          <w:kern w:val="2"/>
          <w:sz w:val="32"/>
          <w:szCs w:val="32"/>
          <w:highlight w:val="none"/>
          <w:lang w:val="en-US" w:eastAsia="zh-CN" w:bidi="ar-SA"/>
        </w:rPr>
        <w:t>等</w:t>
      </w:r>
      <w:r>
        <w:rPr>
          <w:rFonts w:hint="eastAsia" w:eastAsia="方正仿宋_GBK" w:cs="Times New Roman"/>
          <w:b/>
          <w:bCs/>
          <w:color w:val="auto"/>
          <w:kern w:val="2"/>
          <w:sz w:val="32"/>
          <w:szCs w:val="32"/>
          <w:highlight w:val="none"/>
          <w:lang w:val="en-US" w:eastAsia="zh-CN" w:bidi="ar-SA"/>
        </w:rPr>
        <w:t>16</w:t>
      </w:r>
      <w:r>
        <w:rPr>
          <w:rFonts w:hint="default" w:ascii="Times New Roman" w:hAnsi="Times New Roman" w:eastAsia="方正仿宋_GBK" w:cs="Times New Roman"/>
          <w:color w:val="auto"/>
          <w:kern w:val="2"/>
          <w:sz w:val="32"/>
          <w:szCs w:val="32"/>
          <w:highlight w:val="none"/>
          <w:lang w:val="en-US" w:eastAsia="zh-CN" w:bidi="ar-SA"/>
        </w:rPr>
        <w:t>个项目开展了预算事前绩效评估，对</w:t>
      </w:r>
      <w:r>
        <w:rPr>
          <w:rFonts w:hint="eastAsia" w:eastAsia="方正仿宋_GBK" w:cs="Times New Roman"/>
          <w:b/>
          <w:bCs/>
          <w:color w:val="auto"/>
          <w:kern w:val="2"/>
          <w:sz w:val="32"/>
          <w:szCs w:val="32"/>
          <w:highlight w:val="none"/>
          <w:lang w:val="en-US" w:eastAsia="zh-CN" w:bidi="ar-SA"/>
        </w:rPr>
        <w:t>16</w:t>
      </w:r>
      <w:r>
        <w:rPr>
          <w:rFonts w:hint="default" w:ascii="Times New Roman" w:hAnsi="Times New Roman" w:eastAsia="方正仿宋_GBK" w:cs="Times New Roman"/>
          <w:color w:val="auto"/>
          <w:kern w:val="2"/>
          <w:sz w:val="32"/>
          <w:szCs w:val="32"/>
          <w:highlight w:val="none"/>
          <w:lang w:val="en-US" w:eastAsia="zh-CN" w:bidi="ar-SA"/>
        </w:rPr>
        <w:t>个项目编制了绩效目标，预算执行过程中，选取</w:t>
      </w:r>
      <w:r>
        <w:rPr>
          <w:rFonts w:hint="eastAsia" w:eastAsia="方正仿宋_GBK" w:cs="Times New Roman"/>
          <w:b/>
          <w:bCs/>
          <w:color w:val="auto"/>
          <w:kern w:val="2"/>
          <w:sz w:val="32"/>
          <w:szCs w:val="32"/>
          <w:highlight w:val="none"/>
          <w:lang w:val="en-US" w:eastAsia="zh-CN" w:bidi="ar-SA"/>
        </w:rPr>
        <w:t>16</w:t>
      </w:r>
      <w:r>
        <w:rPr>
          <w:rFonts w:hint="default" w:ascii="Times New Roman" w:hAnsi="Times New Roman" w:eastAsia="方正仿宋_GBK" w:cs="Times New Roman"/>
          <w:color w:val="auto"/>
          <w:kern w:val="2"/>
          <w:sz w:val="32"/>
          <w:szCs w:val="32"/>
          <w:highlight w:val="none"/>
          <w:lang w:val="en-US" w:eastAsia="zh-CN" w:bidi="ar-SA"/>
        </w:rPr>
        <w:t>个项目开展绩效监控，</w:t>
      </w:r>
      <w:r>
        <w:rPr>
          <w:rFonts w:hint="default" w:ascii="Times New Roman" w:hAnsi="Times New Roman" w:eastAsia="方正仿宋_GBK" w:cs="Times New Roman"/>
          <w:sz w:val="32"/>
          <w:szCs w:val="32"/>
        </w:rPr>
        <w:t>绩效自评表详见第四部分附件。</w:t>
      </w:r>
    </w:p>
    <w:p w14:paraId="446A4309">
      <w:pPr>
        <w:spacing w:line="24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组织对</w:t>
      </w:r>
      <w:r>
        <w:rPr>
          <w:rFonts w:hint="default" w:ascii="Times New Roman" w:hAnsi="Times New Roman" w:eastAsia="方正仿宋_GBK" w:cs="Times New Roman"/>
          <w:b/>
          <w:bCs/>
          <w:sz w:val="32"/>
          <w:szCs w:val="32"/>
        </w:rPr>
        <w:t>202</w:t>
      </w:r>
      <w:r>
        <w:rPr>
          <w:rFonts w:hint="eastAsia" w:eastAsia="方正仿宋_GBK" w:cs="Times New Roman"/>
          <w:b/>
          <w:bCs/>
          <w:sz w:val="32"/>
          <w:szCs w:val="32"/>
          <w:lang w:val="en-US" w:eastAsia="zh-CN"/>
        </w:rPr>
        <w:t>5</w:t>
      </w:r>
      <w:r>
        <w:rPr>
          <w:rFonts w:hint="default" w:ascii="Times New Roman" w:hAnsi="Times New Roman" w:eastAsia="方正仿宋_GBK" w:cs="Times New Roman"/>
          <w:sz w:val="32"/>
          <w:szCs w:val="32"/>
        </w:rPr>
        <w:t>年度一般公共预算、政府性基金预算、国有资本经营预算、社会保险基金预算以及资本资产、债券资金等全面开展绩效自评，形成攀枝花市纪委监委部门整体（含部门预算项目）绩效自评报告。其中，攀枝花市纪委监委部门整体（含部门预算项目）绩效自评得分为</w:t>
      </w:r>
      <w:r>
        <w:rPr>
          <w:rFonts w:hint="eastAsia" w:ascii="Times New Roman" w:hAnsi="Times New Roman" w:eastAsia="方正仿宋_GBK" w:cs="Times New Roman"/>
          <w:b/>
          <w:bCs/>
          <w:sz w:val="32"/>
          <w:szCs w:val="32"/>
          <w:lang w:val="en-US" w:eastAsia="zh-CN"/>
        </w:rPr>
        <w:t>9</w:t>
      </w:r>
      <w:r>
        <w:rPr>
          <w:rFonts w:hint="eastAsia" w:eastAsia="方正仿宋_GBK" w:cs="Times New Roman"/>
          <w:b/>
          <w:bCs/>
          <w:sz w:val="32"/>
          <w:szCs w:val="32"/>
          <w:lang w:val="en-US" w:eastAsia="zh-CN"/>
        </w:rPr>
        <w:t>2.18</w:t>
      </w:r>
      <w:r>
        <w:rPr>
          <w:rFonts w:hint="default" w:ascii="Times New Roman" w:hAnsi="Times New Roman" w:eastAsia="方正仿宋_GBK" w:cs="Times New Roman"/>
          <w:sz w:val="32"/>
          <w:szCs w:val="32"/>
        </w:rPr>
        <w:t>分</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绩效自评综述：</w:t>
      </w:r>
      <w:r>
        <w:rPr>
          <w:rFonts w:hint="default" w:ascii="Times New Roman" w:hAnsi="Times New Roman" w:eastAsia="方正仿宋_GBK" w:cs="Times New Roman"/>
          <w:b/>
          <w:bCs/>
          <w:sz w:val="32"/>
          <w:szCs w:val="32"/>
        </w:rPr>
        <w:t>202</w:t>
      </w:r>
      <w:r>
        <w:rPr>
          <w:rFonts w:hint="eastAsia" w:eastAsia="方正仿宋_GBK" w:cs="Times New Roman"/>
          <w:b/>
          <w:bCs/>
          <w:sz w:val="32"/>
          <w:szCs w:val="32"/>
          <w:lang w:val="en-US" w:eastAsia="zh-CN"/>
        </w:rPr>
        <w:t>5</w:t>
      </w:r>
      <w:r>
        <w:rPr>
          <w:rFonts w:hint="default" w:ascii="Times New Roman" w:hAnsi="Times New Roman" w:eastAsia="方正仿宋_GBK" w:cs="Times New Roman"/>
          <w:sz w:val="32"/>
          <w:szCs w:val="32"/>
        </w:rPr>
        <w:t>年度，攀枝花市纪委监委认真贯彻落实党中央要求，</w:t>
      </w:r>
      <w:r>
        <w:rPr>
          <w:rFonts w:hint="default" w:ascii="Times New Roman" w:hAnsi="Times New Roman" w:eastAsia="方正仿宋_GBK" w:cs="Times New Roman"/>
          <w:sz w:val="32"/>
          <w:szCs w:val="32"/>
          <w:lang w:val="en-US" w:eastAsia="zh-CN"/>
        </w:rPr>
        <w:t>压实绩效管理主体责任，严格落实预算绩效管理一体化要求，将绩效管控贯穿预算编制、执行、监督全过程。严守工作纪律，主动精进业务，圆满完成各项工作任务。同时</w:t>
      </w:r>
      <w:r>
        <w:rPr>
          <w:rFonts w:hint="eastAsia" w:eastAsia="方正仿宋_GBK" w:cs="Times New Roman"/>
          <w:sz w:val="32"/>
          <w:szCs w:val="32"/>
          <w:lang w:val="en-US" w:eastAsia="zh-CN"/>
        </w:rPr>
        <w:t>，</w:t>
      </w:r>
      <w:r>
        <w:rPr>
          <w:rFonts w:hint="default" w:ascii="Times New Roman" w:hAnsi="Times New Roman" w:eastAsia="方正仿宋_GBK" w:cs="Times New Roman"/>
          <w:sz w:val="32"/>
          <w:szCs w:val="32"/>
          <w:lang w:val="en-US" w:eastAsia="zh-CN"/>
        </w:rPr>
        <w:t>存在工作创新不足、精细化管理有待提升等问题，后续将补齐短板、提质增效。</w:t>
      </w:r>
    </w:p>
    <w:p w14:paraId="7FB12293">
      <w:pPr>
        <w:spacing w:line="240" w:lineRule="auto"/>
        <w:ind w:firstLine="640" w:firstLineChars="200"/>
      </w:pPr>
      <w:r>
        <w:rPr>
          <w:rFonts w:hint="default" w:ascii="Times New Roman" w:hAnsi="Times New Roman" w:eastAsia="方正仿宋_GBK" w:cs="Times New Roman"/>
          <w:sz w:val="32"/>
          <w:szCs w:val="32"/>
        </w:rPr>
        <w:t>绩效自评报告详见附件（第四部分）。</w:t>
      </w:r>
    </w:p>
    <w:p w14:paraId="44D64BC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00700F3">
      <w:pPr>
        <w:numPr>
          <w:ilvl w:val="0"/>
          <w:numId w:val="0"/>
        </w:numPr>
        <w:spacing w:line="600" w:lineRule="exact"/>
        <w:jc w:val="center"/>
        <w:outlineLvl w:val="9"/>
        <w:rPr>
          <w:rFonts w:hint="eastAsia" w:ascii="Times New Roman" w:hAnsi="Times New Roman" w:eastAsia="黑体"/>
          <w:color w:val="auto"/>
          <w:sz w:val="44"/>
          <w:szCs w:val="44"/>
          <w:highlight w:val="none"/>
        </w:rPr>
      </w:pPr>
      <w:bookmarkStart w:id="75" w:name="_Toc15377225"/>
      <w:bookmarkStart w:id="76" w:name="_Toc15396613"/>
    </w:p>
    <w:p w14:paraId="3C0803FC">
      <w:pPr>
        <w:numPr>
          <w:ilvl w:val="0"/>
          <w:numId w:val="0"/>
        </w:numPr>
        <w:spacing w:line="600" w:lineRule="exact"/>
        <w:jc w:val="center"/>
        <w:outlineLvl w:val="9"/>
        <w:rPr>
          <w:rFonts w:hint="eastAsia" w:ascii="Times New Roman" w:hAnsi="Times New Roman" w:eastAsia="黑体"/>
          <w:color w:val="auto"/>
          <w:sz w:val="44"/>
          <w:szCs w:val="44"/>
          <w:highlight w:val="none"/>
        </w:rPr>
      </w:pPr>
    </w:p>
    <w:p w14:paraId="6A097637">
      <w:pPr>
        <w:numPr>
          <w:ilvl w:val="0"/>
          <w:numId w:val="0"/>
        </w:numPr>
        <w:spacing w:line="600" w:lineRule="exact"/>
        <w:jc w:val="center"/>
        <w:outlineLvl w:val="9"/>
        <w:rPr>
          <w:rFonts w:hint="eastAsia" w:ascii="Times New Roman" w:hAnsi="Times New Roman" w:eastAsia="黑体"/>
          <w:color w:val="auto"/>
          <w:sz w:val="44"/>
          <w:szCs w:val="44"/>
          <w:highlight w:val="none"/>
        </w:rPr>
      </w:pPr>
    </w:p>
    <w:p w14:paraId="166B371D">
      <w:pPr>
        <w:numPr>
          <w:ilvl w:val="0"/>
          <w:numId w:val="0"/>
        </w:numPr>
        <w:spacing w:line="600" w:lineRule="exact"/>
        <w:jc w:val="center"/>
        <w:outlineLvl w:val="9"/>
        <w:rPr>
          <w:rFonts w:hint="eastAsia" w:ascii="Times New Roman" w:hAnsi="Times New Roman" w:eastAsia="黑体"/>
          <w:color w:val="auto"/>
          <w:sz w:val="44"/>
          <w:szCs w:val="44"/>
          <w:highlight w:val="none"/>
        </w:rPr>
      </w:pPr>
    </w:p>
    <w:p w14:paraId="4F89A677">
      <w:pPr>
        <w:numPr>
          <w:ilvl w:val="0"/>
          <w:numId w:val="0"/>
        </w:numPr>
        <w:spacing w:line="600" w:lineRule="exact"/>
        <w:jc w:val="both"/>
        <w:outlineLvl w:val="9"/>
        <w:rPr>
          <w:rFonts w:hint="eastAsia" w:ascii="Times New Roman" w:hAnsi="Times New Roman" w:eastAsia="黑体"/>
          <w:color w:val="auto"/>
          <w:sz w:val="44"/>
          <w:szCs w:val="44"/>
          <w:highlight w:val="none"/>
        </w:rPr>
      </w:pPr>
    </w:p>
    <w:p w14:paraId="03BC6E8D">
      <w:pPr>
        <w:pStyle w:val="2"/>
        <w:rPr>
          <w:rFonts w:hint="eastAsia" w:ascii="Times New Roman" w:hAnsi="Times New Roman" w:eastAsia="黑体"/>
          <w:color w:val="auto"/>
          <w:sz w:val="44"/>
          <w:szCs w:val="44"/>
          <w:highlight w:val="none"/>
        </w:rPr>
      </w:pPr>
    </w:p>
    <w:p w14:paraId="50F15BCB">
      <w:pPr>
        <w:pStyle w:val="3"/>
        <w:rPr>
          <w:rFonts w:hint="eastAsia" w:ascii="Times New Roman" w:hAnsi="Times New Roman" w:eastAsia="黑体"/>
          <w:color w:val="auto"/>
          <w:sz w:val="44"/>
          <w:szCs w:val="44"/>
          <w:highlight w:val="none"/>
        </w:rPr>
      </w:pPr>
    </w:p>
    <w:p w14:paraId="52604A00">
      <w:pPr>
        <w:rPr>
          <w:rFonts w:hint="eastAsia"/>
        </w:rPr>
      </w:pPr>
    </w:p>
    <w:p w14:paraId="391D8B55">
      <w:pPr>
        <w:numPr>
          <w:ilvl w:val="0"/>
          <w:numId w:val="0"/>
        </w:numPr>
        <w:spacing w:line="600" w:lineRule="exact"/>
        <w:jc w:val="center"/>
        <w:outlineLvl w:val="0"/>
        <w:rPr>
          <w:rFonts w:ascii="Times New Roman" w:hAnsi="Times New Roman"/>
          <w:b/>
          <w:color w:val="auto"/>
          <w:sz w:val="44"/>
          <w:szCs w:val="44"/>
          <w:highlight w:val="none"/>
        </w:rPr>
      </w:pPr>
      <w:bookmarkStart w:id="77" w:name="_Toc18866"/>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75"/>
      <w:bookmarkEnd w:id="76"/>
      <w:bookmarkEnd w:id="77"/>
    </w:p>
    <w:p w14:paraId="4E1C6CFA">
      <w:pPr>
        <w:spacing w:line="240" w:lineRule="auto"/>
        <w:ind w:firstLine="640"/>
        <w:rPr>
          <w:rFonts w:hint="default" w:ascii="Times New Roman" w:hAnsi="Times New Roman" w:eastAsia="方正仿宋_GBK" w:cs="Times New Roman"/>
          <w:sz w:val="32"/>
          <w:szCs w:val="32"/>
        </w:rPr>
      </w:pPr>
      <w:bookmarkStart w:id="78" w:name="_Toc15377226"/>
      <w:r>
        <w:rPr>
          <w:rFonts w:hint="default" w:ascii="Times New Roman" w:hAnsi="Times New Roman" w:eastAsia="方正仿宋_GBK" w:cs="Times New Roman"/>
          <w:sz w:val="32"/>
          <w:szCs w:val="32"/>
        </w:rPr>
        <w:t>1．财政拨款收入：指单位从同级财政部门取得的财政预算资金。</w:t>
      </w:r>
    </w:p>
    <w:p w14:paraId="735EA0E8">
      <w:pPr>
        <w:spacing w:line="240" w:lineRule="auto"/>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2．经营收入：指事业单位在专业业务活动及其辅助活动之外开展非独立核算经营活动取得的收入。</w:t>
      </w:r>
    </w:p>
    <w:p w14:paraId="60EB38F4">
      <w:pPr>
        <w:spacing w:line="240" w:lineRule="auto"/>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3．其他收入：指单位取得的除上述收入以外的各项收入。主要是单位的存款利息收入等。</w:t>
      </w:r>
    </w:p>
    <w:p w14:paraId="63DF63BD">
      <w:pPr>
        <w:spacing w:line="240" w:lineRule="auto"/>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4．年初结转和结余：指以前年度尚未完成、结转到本年按有关规定继续使用的资金。</w:t>
      </w:r>
    </w:p>
    <w:p w14:paraId="79F51E94">
      <w:pPr>
        <w:spacing w:line="240" w:lineRule="auto"/>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5．年末结转和结余：指单位按有关规定结转到下年或以后年度继续使用的资金。</w:t>
      </w:r>
    </w:p>
    <w:p w14:paraId="7B47ADBE">
      <w:pPr>
        <w:spacing w:line="240" w:lineRule="auto"/>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6．一般公共服务一般公共服务（类）纪检监察事务（款）行政运行（项）：指用于机机关职工基本工资、津贴补贴等人员经费的发放，以及行政单位的基本支出。</w:t>
      </w:r>
    </w:p>
    <w:p w14:paraId="5771E9A0">
      <w:pPr>
        <w:spacing w:line="240" w:lineRule="auto"/>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一般公共服务（类）纪检监察事务（款）一般行政管理事务（项）：指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14:paraId="19C0FCB5">
      <w:pPr>
        <w:spacing w:line="240" w:lineRule="auto"/>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8．一般公共服务（类）纪检监察事务（款）其他纪检监察事务支出（项）：指其他纪检监察事务方面的支出。</w:t>
      </w:r>
    </w:p>
    <w:p w14:paraId="2BA69B5B">
      <w:pPr>
        <w:spacing w:line="240" w:lineRule="auto"/>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9．一般公共服务（类）组织事务（款）其他组织事务支出（项）：指市级挂职干部人才补助经费。</w:t>
      </w:r>
    </w:p>
    <w:p w14:paraId="0F3FECCD">
      <w:pPr>
        <w:keepNext w:val="0"/>
        <w:keepLines w:val="0"/>
        <w:pageBreakBefore w:val="0"/>
        <w:widowControl w:val="0"/>
        <w:kinsoku/>
        <w:wordWrap/>
        <w:overflowPunct/>
        <w:topLinePunct w:val="0"/>
        <w:autoSpaceDE/>
        <w:autoSpaceDN/>
        <w:bidi w:val="0"/>
        <w:adjustRightInd/>
        <w:snapToGrid/>
        <w:spacing w:line="240" w:lineRule="auto"/>
        <w:ind w:firstLine="641"/>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10．社会保障和就业（类）行政事业单位养老支出（款）行政单位离退休（项）：指离退休人员离退休费及公用经费。</w:t>
      </w:r>
    </w:p>
    <w:p w14:paraId="6F0375E6">
      <w:pPr>
        <w:spacing w:line="240" w:lineRule="auto"/>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11．社会保障和就业（类）行政事业单位离退休（款）机关事业单位基本养老保险缴费支出（项）：指机关事业单位并轨后基本养老保险缴费支出。</w:t>
      </w:r>
    </w:p>
    <w:p w14:paraId="2CF3D262">
      <w:pPr>
        <w:spacing w:line="240" w:lineRule="auto"/>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12．社会保障和就业（类）人力资源和社会保障管理事务（款）其他人力资源和社会保障管理事务支出（项）：指其他用于人力资源和社会保障管理事务方面的支出。</w:t>
      </w:r>
    </w:p>
    <w:p w14:paraId="30F33CCC">
      <w:pPr>
        <w:spacing w:line="240" w:lineRule="auto"/>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13．社会保障和就业（类）社会福利（款）儿童福利（项）：指关工委关心下一代专项资金。</w:t>
      </w:r>
    </w:p>
    <w:p w14:paraId="6ECFBD57">
      <w:pPr>
        <w:spacing w:line="240" w:lineRule="auto"/>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14．卫生健康支出（类）行政事业单位医疗（款）其他行政事业单位医疗支出（项）：指单位职工其他医疗保障支出。</w:t>
      </w:r>
    </w:p>
    <w:p w14:paraId="2A20418C">
      <w:pPr>
        <w:spacing w:line="240" w:lineRule="auto"/>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15．卫生健康支出（类）其他卫生健康支出（款）其他卫生健康支出（项）：指其他用于卫生健康方面的支出</w:t>
      </w:r>
    </w:p>
    <w:p w14:paraId="2420B286">
      <w:pPr>
        <w:spacing w:line="24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16．住房保障支出（类）住房改革支出（款）住房公积金（项）：指职工住房公积金支出。</w:t>
      </w:r>
    </w:p>
    <w:p w14:paraId="0142BFB9">
      <w:pPr>
        <w:spacing w:line="24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17．城乡社区支出（类）城乡社区公共设施（款）其他城乡社区公共设施支出（项）：指其他用于城乡社区公共设施方面的支出。</w:t>
      </w:r>
    </w:p>
    <w:p w14:paraId="0336E82C">
      <w:pPr>
        <w:spacing w:line="24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18．农林水支出（类）农业农村（款）其他农业农村支出（项）：指其他用于农业农村方面的支出。</w:t>
      </w:r>
    </w:p>
    <w:p w14:paraId="5F82AE8C">
      <w:pPr>
        <w:spacing w:line="240" w:lineRule="auto"/>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19．基本支出：指为保障机构正常运转、完成日常工作任务而发生的人员支出和公用支出。</w:t>
      </w:r>
    </w:p>
    <w:p w14:paraId="5023B3A8">
      <w:pPr>
        <w:spacing w:line="240" w:lineRule="auto"/>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20．项目支出：指在基本支出之外为完成特定行政任务和事业发展目标所发生的支出。 </w:t>
      </w:r>
    </w:p>
    <w:p w14:paraId="35FAF5CF">
      <w:pPr>
        <w:spacing w:line="240" w:lineRule="auto"/>
        <w:ind w:firstLine="64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21．“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47E5350">
      <w:pPr>
        <w:spacing w:line="240" w:lineRule="auto"/>
        <w:ind w:firstLine="640" w:firstLineChars="200"/>
        <w:jc w:val="left"/>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A222B49">
      <w:pPr>
        <w:spacing w:line="24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23．事业收入：指事业单位开展专业业务活动及辅助活动取得的收入。</w:t>
      </w:r>
    </w:p>
    <w:p w14:paraId="46D7E31C">
      <w:pPr>
        <w:spacing w:line="600" w:lineRule="exact"/>
        <w:jc w:val="center"/>
        <w:outlineLvl w:val="0"/>
        <w:rPr>
          <w:rStyle w:val="30"/>
          <w:rFonts w:hint="eastAsia" w:ascii="Times New Roman" w:hAnsi="Times New Roman" w:eastAsia="黑体"/>
          <w:b w:val="0"/>
          <w:color w:val="auto"/>
          <w:highlight w:val="none"/>
          <w:lang w:eastAsia="zh-CN"/>
        </w:rPr>
      </w:pPr>
      <w:r>
        <w:rPr>
          <w:rFonts w:hint="eastAsia" w:ascii="Times New Roman" w:hAnsi="Times New Roman" w:eastAsia="仿宋_GB2312" w:cs="仿宋_GB2312"/>
          <w:color w:val="auto"/>
          <w:kern w:val="2"/>
          <w:sz w:val="32"/>
          <w:szCs w:val="32"/>
          <w:highlight w:val="none"/>
          <w:lang w:val="en-US" w:eastAsia="zh-CN" w:bidi="ar-SA"/>
        </w:rPr>
        <w:br w:type="page"/>
      </w:r>
      <w:bookmarkStart w:id="79" w:name="_Toc31868"/>
      <w:bookmarkStart w:id="80" w:name="_Toc1539661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79"/>
      <w:bookmarkEnd w:id="80"/>
    </w:p>
    <w:p w14:paraId="37EBAD24">
      <w:pPr>
        <w:keepNext w:val="0"/>
        <w:keepLines w:val="0"/>
        <w:pageBreakBefore w:val="0"/>
        <w:kinsoku/>
        <w:wordWrap/>
        <w:overflowPunct/>
        <w:topLinePunct w:val="0"/>
        <w:autoSpaceDE/>
        <w:autoSpaceDN/>
        <w:bidi w:val="0"/>
        <w:spacing w:line="572" w:lineRule="exact"/>
        <w:jc w:val="left"/>
        <w:textAlignment w:val="auto"/>
        <w:outlineLvl w:val="9"/>
        <w:rPr>
          <w:rFonts w:hint="eastAsia" w:ascii="Times New Roman" w:hAnsi="Times New Roman" w:eastAsia="黑体" w:cs="黑体"/>
          <w:color w:val="FF0000"/>
          <w:sz w:val="32"/>
          <w:szCs w:val="32"/>
          <w:highlight w:val="none"/>
        </w:rPr>
      </w:pPr>
    </w:p>
    <w:p w14:paraId="0066B3E3">
      <w:pPr>
        <w:keepNext w:val="0"/>
        <w:keepLines w:val="0"/>
        <w:pageBreakBefore w:val="0"/>
        <w:kinsoku/>
        <w:wordWrap/>
        <w:overflowPunct/>
        <w:topLinePunct w:val="0"/>
        <w:autoSpaceDE/>
        <w:autoSpaceDN/>
        <w:bidi w:val="0"/>
        <w:spacing w:line="572" w:lineRule="exact"/>
        <w:jc w:val="left"/>
        <w:textAlignment w:val="auto"/>
        <w:outlineLvl w:val="9"/>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14:paraId="2DDC97F6">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14:paraId="0152A74E">
      <w:pPr>
        <w:jc w:val="center"/>
        <w:rPr>
          <w:rFonts w:hint="eastAsia" w:ascii="方正小标宋_GBK" w:hAnsi="方正小标宋_GBK" w:eastAsia="方正小标宋_GBK" w:cs="方正小标宋_GBK"/>
          <w:b/>
          <w:bCs/>
          <w:sz w:val="44"/>
          <w:szCs w:val="44"/>
          <w:lang w:val="en-US" w:eastAsia="zh-CN"/>
        </w:rPr>
      </w:pPr>
      <w:r>
        <w:rPr>
          <w:rFonts w:hint="eastAsia" w:ascii="方正小标宋_GBK" w:hAnsi="方正小标宋_GBK" w:eastAsia="方正小标宋_GBK" w:cs="方正小标宋_GBK"/>
          <w:b/>
          <w:bCs/>
          <w:sz w:val="44"/>
          <w:szCs w:val="44"/>
          <w:lang w:val="en-US" w:eastAsia="zh-CN"/>
        </w:rPr>
        <w:t>中共攀枝花市纪律检查委员会</w:t>
      </w:r>
    </w:p>
    <w:p w14:paraId="71E0EBD7">
      <w:pPr>
        <w:jc w:val="center"/>
        <w:rPr>
          <w:rFonts w:hint="eastAsia" w:ascii="方正小标宋_GBK" w:hAnsi="方正小标宋_GBK" w:eastAsia="方正小标宋_GBK" w:cs="方正小标宋_GBK"/>
          <w:b/>
          <w:bCs/>
          <w:sz w:val="44"/>
          <w:szCs w:val="44"/>
          <w:lang w:val="en-US" w:eastAsia="zh-CN"/>
        </w:rPr>
      </w:pPr>
      <w:r>
        <w:rPr>
          <w:rFonts w:hint="eastAsia" w:ascii="方正小标宋_GBK" w:hAnsi="方正小标宋_GBK" w:eastAsia="方正小标宋_GBK" w:cs="方正小标宋_GBK"/>
          <w:b/>
          <w:bCs/>
          <w:sz w:val="44"/>
          <w:szCs w:val="44"/>
          <w:lang w:val="en-US" w:eastAsia="zh-CN"/>
        </w:rPr>
        <w:t>攀枝花市监察委员会</w:t>
      </w:r>
    </w:p>
    <w:p w14:paraId="459583F9">
      <w:pPr>
        <w:jc w:val="center"/>
        <w:rPr>
          <w:rFonts w:hint="eastAsia" w:ascii="方正小标宋_GBK" w:hAnsi="方正小标宋_GBK" w:eastAsia="方正小标宋_GBK" w:cs="方正小标宋_GBK"/>
          <w:b/>
          <w:bCs/>
          <w:sz w:val="44"/>
          <w:szCs w:val="44"/>
        </w:rPr>
      </w:pPr>
      <w:r>
        <w:rPr>
          <w:rFonts w:hint="eastAsia" w:ascii="方正小标宋_GBK" w:hAnsi="方正小标宋_GBK" w:eastAsia="方正小标宋_GBK" w:cs="方正小标宋_GBK"/>
          <w:b/>
          <w:bCs/>
          <w:sz w:val="44"/>
          <w:szCs w:val="44"/>
          <w:lang w:val="en-US" w:eastAsia="zh-CN"/>
        </w:rPr>
        <w:t>2025年度</w:t>
      </w:r>
      <w:r>
        <w:rPr>
          <w:rFonts w:hint="eastAsia" w:ascii="方正小标宋_GBK" w:hAnsi="方正小标宋_GBK" w:eastAsia="方正小标宋_GBK" w:cs="方正小标宋_GBK"/>
          <w:b/>
          <w:bCs/>
          <w:sz w:val="44"/>
          <w:szCs w:val="44"/>
        </w:rPr>
        <w:t>部门预算绩效评价报告</w:t>
      </w:r>
    </w:p>
    <w:p w14:paraId="7A2EA265">
      <w:pPr>
        <w:keepNext w:val="0"/>
        <w:keepLines w:val="0"/>
        <w:pageBreakBefore w:val="0"/>
        <w:widowControl/>
        <w:kinsoku/>
        <w:wordWrap/>
        <w:overflowPunct/>
        <w:topLinePunct w:val="0"/>
        <w:autoSpaceDE/>
        <w:autoSpaceDN/>
        <w:bidi w:val="0"/>
        <w:adjustRightInd w:val="0"/>
        <w:snapToGrid w:val="0"/>
        <w:spacing w:line="578" w:lineRule="exact"/>
        <w:ind w:firstLine="480" w:firstLineChars="200"/>
        <w:contextualSpacing/>
        <w:jc w:val="left"/>
        <w:textAlignment w:val="auto"/>
        <w:outlineLvl w:val="9"/>
        <w:rPr>
          <w:rFonts w:hint="default" w:ascii="Times New Roman" w:hAnsi="Times New Roman" w:eastAsia="黑体" w:cs="Times New Roman"/>
          <w:color w:val="000000"/>
          <w:kern w:val="0"/>
          <w:sz w:val="24"/>
          <w:szCs w:val="32"/>
          <w:highlight w:val="none"/>
          <w:shd w:val="clear" w:color="auto" w:fill="FFFFFF"/>
        </w:rPr>
      </w:pPr>
    </w:p>
    <w:p w14:paraId="58C99FA9">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eastAsia" w:ascii="Times New Roman" w:hAnsi="Times New Roman" w:eastAsia="黑体" w:cs="Times New Roman"/>
          <w:color w:val="000000"/>
          <w:kern w:val="0"/>
          <w:sz w:val="32"/>
          <w:szCs w:val="32"/>
          <w:highlight w:val="none"/>
          <w:shd w:val="clear" w:color="auto" w:fill="FFFFFF"/>
          <w:lang w:val="zh-CN"/>
        </w:rPr>
        <w:t>一、</w:t>
      </w:r>
      <w:r>
        <w:rPr>
          <w:rFonts w:hint="default" w:ascii="Times New Roman" w:hAnsi="Times New Roman" w:eastAsia="黑体" w:cs="Times New Roman"/>
          <w:color w:val="000000"/>
          <w:kern w:val="0"/>
          <w:sz w:val="32"/>
          <w:szCs w:val="32"/>
          <w:highlight w:val="none"/>
          <w:shd w:val="clear" w:color="auto" w:fill="FFFFFF"/>
          <w:lang w:val="zh-CN"/>
        </w:rPr>
        <w:t>部门（单位）基本情况</w:t>
      </w:r>
    </w:p>
    <w:p w14:paraId="7BAF3B66">
      <w:pPr>
        <w:spacing w:line="240" w:lineRule="auto"/>
        <w:ind w:firstLine="640"/>
        <w:rPr>
          <w:rFonts w:hint="eastAsia" w:ascii="方正楷体_GBK" w:hAnsi="方正楷体_GBK" w:eastAsia="方正楷体_GBK" w:cs="方正楷体_GBK"/>
          <w:b/>
          <w:color w:val="auto"/>
          <w:sz w:val="32"/>
          <w:szCs w:val="32"/>
          <w:highlight w:val="none"/>
          <w:lang w:val="zh-CN"/>
        </w:rPr>
      </w:pPr>
      <w:r>
        <w:rPr>
          <w:rFonts w:hint="eastAsia" w:ascii="方正楷体_GBK" w:hAnsi="方正楷体_GBK" w:eastAsia="方正楷体_GBK" w:cs="方正楷体_GBK"/>
          <w:b/>
          <w:color w:val="auto"/>
          <w:sz w:val="32"/>
          <w:szCs w:val="32"/>
          <w:highlight w:val="none"/>
          <w:lang w:val="zh-CN"/>
        </w:rPr>
        <w:t>（一）机构组成</w:t>
      </w:r>
    </w:p>
    <w:p w14:paraId="6C6222C1">
      <w:pPr>
        <w:spacing w:line="240" w:lineRule="auto"/>
        <w:ind w:firstLine="640"/>
        <w:rPr>
          <w:rFonts w:hint="default" w:ascii="Times New Roman" w:hAnsi="Times New Roman" w:cs="Times New Roman"/>
          <w:sz w:val="32"/>
          <w:szCs w:val="32"/>
        </w:rPr>
      </w:pPr>
      <w:r>
        <w:rPr>
          <w:rFonts w:eastAsia="方正仿宋_GBK"/>
          <w:sz w:val="32"/>
          <w:szCs w:val="32"/>
        </w:rPr>
        <w:t>中共攀枝花市纪律检查委员会</w:t>
      </w:r>
      <w:r>
        <w:rPr>
          <w:rFonts w:hint="eastAsia" w:eastAsia="方正仿宋_GBK"/>
          <w:sz w:val="32"/>
          <w:szCs w:val="32"/>
        </w:rPr>
        <w:t xml:space="preserve"> </w:t>
      </w:r>
      <w:r>
        <w:rPr>
          <w:rFonts w:eastAsia="方正仿宋_GBK"/>
          <w:sz w:val="32"/>
          <w:szCs w:val="32"/>
        </w:rPr>
        <w:t>攀枝花市监察委员会内设机构</w:t>
      </w:r>
      <w:r>
        <w:rPr>
          <w:rFonts w:hint="default" w:ascii="Times New Roman" w:hAnsi="Times New Roman" w:eastAsia="方正仿宋_GBK" w:cs="Times New Roman"/>
          <w:b/>
          <w:bCs/>
          <w:sz w:val="32"/>
          <w:szCs w:val="32"/>
        </w:rPr>
        <w:t>2</w:t>
      </w:r>
      <w:r>
        <w:rPr>
          <w:rFonts w:hint="eastAsia" w:eastAsia="方正仿宋_GBK" w:cs="Times New Roman"/>
          <w:b/>
          <w:bCs/>
          <w:sz w:val="32"/>
          <w:szCs w:val="32"/>
          <w:lang w:val="en-US" w:eastAsia="zh-CN"/>
        </w:rPr>
        <w:t>6</w:t>
      </w:r>
      <w:r>
        <w:rPr>
          <w:rFonts w:eastAsia="方正仿宋_GBK"/>
          <w:sz w:val="32"/>
          <w:szCs w:val="32"/>
        </w:rPr>
        <w:t>个职能室部（含市委巡察办及</w:t>
      </w:r>
      <w:r>
        <w:rPr>
          <w:rFonts w:hint="eastAsia" w:eastAsia="方正仿宋_GBK" w:cs="Times New Roman"/>
          <w:b/>
          <w:bCs/>
          <w:sz w:val="32"/>
          <w:szCs w:val="32"/>
          <w:lang w:val="en-US" w:eastAsia="zh-CN"/>
        </w:rPr>
        <w:t>3</w:t>
      </w:r>
      <w:r>
        <w:rPr>
          <w:rFonts w:eastAsia="方正仿宋_GBK"/>
          <w:sz w:val="32"/>
          <w:szCs w:val="32"/>
        </w:rPr>
        <w:t>个巡察组），其中：包括</w:t>
      </w:r>
      <w:r>
        <w:rPr>
          <w:rFonts w:hint="default" w:ascii="Times New Roman" w:hAnsi="Times New Roman" w:eastAsia="方正仿宋_GBK" w:cs="Times New Roman"/>
          <w:b/>
          <w:bCs/>
          <w:sz w:val="32"/>
          <w:szCs w:val="32"/>
        </w:rPr>
        <w:t>1－</w:t>
      </w:r>
      <w:r>
        <w:rPr>
          <w:rFonts w:hint="eastAsia" w:eastAsia="方正仿宋_GBK" w:cs="Times New Roman"/>
          <w:b/>
          <w:bCs/>
          <w:sz w:val="32"/>
          <w:szCs w:val="32"/>
          <w:lang w:val="en-US" w:eastAsia="zh-CN"/>
        </w:rPr>
        <w:t>11</w:t>
      </w:r>
      <w:r>
        <w:rPr>
          <w:rFonts w:eastAsia="方正仿宋_GBK"/>
          <w:sz w:val="32"/>
          <w:szCs w:val="32"/>
        </w:rPr>
        <w:t>纪检监察室、</w:t>
      </w:r>
      <w:r>
        <w:rPr>
          <w:rFonts w:hint="eastAsia" w:eastAsia="方正仿宋_GBK"/>
          <w:sz w:val="32"/>
          <w:szCs w:val="32"/>
          <w:lang w:val="en-US" w:eastAsia="zh-CN"/>
        </w:rPr>
        <w:t>数字纪检监察室、</w:t>
      </w:r>
      <w:r>
        <w:rPr>
          <w:rFonts w:eastAsia="方正仿宋_GBK"/>
          <w:sz w:val="32"/>
          <w:szCs w:val="32"/>
        </w:rPr>
        <w:t>信访室、组织部、宣传部、研究室、党风政风监督室、</w:t>
      </w:r>
      <w:r>
        <w:rPr>
          <w:rFonts w:hint="eastAsia" w:eastAsia="方正仿宋_GBK"/>
          <w:sz w:val="32"/>
          <w:szCs w:val="32"/>
        </w:rPr>
        <w:t>案件监督管理</w:t>
      </w:r>
      <w:r>
        <w:rPr>
          <w:rFonts w:eastAsia="方正仿宋_GBK"/>
          <w:sz w:val="32"/>
          <w:szCs w:val="32"/>
        </w:rPr>
        <w:t>室、</w:t>
      </w:r>
      <w:r>
        <w:rPr>
          <w:rFonts w:hint="eastAsia" w:eastAsia="方正仿宋_GBK"/>
          <w:sz w:val="32"/>
          <w:szCs w:val="32"/>
        </w:rPr>
        <w:t>案件</w:t>
      </w:r>
      <w:r>
        <w:rPr>
          <w:rFonts w:eastAsia="方正仿宋_GBK"/>
          <w:sz w:val="32"/>
          <w:szCs w:val="32"/>
        </w:rPr>
        <w:t>审理室、办公室、</w:t>
      </w:r>
      <w:r>
        <w:rPr>
          <w:rFonts w:hint="eastAsia" w:eastAsia="方正仿宋_GBK"/>
          <w:sz w:val="32"/>
          <w:szCs w:val="32"/>
        </w:rPr>
        <w:t>纪检监察</w:t>
      </w:r>
      <w:r>
        <w:rPr>
          <w:rFonts w:eastAsia="方正仿宋_GBK"/>
          <w:sz w:val="32"/>
          <w:szCs w:val="32"/>
        </w:rPr>
        <w:t>干</w:t>
      </w:r>
      <w:r>
        <w:rPr>
          <w:rFonts w:hint="eastAsia" w:eastAsia="方正仿宋_GBK"/>
          <w:sz w:val="32"/>
          <w:szCs w:val="32"/>
        </w:rPr>
        <w:t>部监督</w:t>
      </w:r>
      <w:r>
        <w:rPr>
          <w:rFonts w:eastAsia="方正仿宋_GBK"/>
          <w:sz w:val="32"/>
          <w:szCs w:val="32"/>
        </w:rPr>
        <w:t>室、机关党委。市委巡察办、</w:t>
      </w:r>
      <w:r>
        <w:rPr>
          <w:rFonts w:hint="eastAsia" w:eastAsia="方正仿宋_GBK" w:cs="Times New Roman"/>
          <w:b/>
          <w:bCs/>
          <w:sz w:val="32"/>
          <w:szCs w:val="32"/>
          <w:lang w:val="en-US" w:eastAsia="zh-CN"/>
        </w:rPr>
        <w:t>3</w:t>
      </w:r>
      <w:r>
        <w:rPr>
          <w:rFonts w:eastAsia="方正仿宋_GBK"/>
          <w:sz w:val="32"/>
          <w:szCs w:val="32"/>
        </w:rPr>
        <w:t>个市委巡察组。下属公益一类事业单位</w:t>
      </w:r>
      <w:r>
        <w:rPr>
          <w:rFonts w:hint="default" w:ascii="Times New Roman" w:hAnsi="Times New Roman" w:eastAsia="方正仿宋_GBK" w:cs="Times New Roman"/>
          <w:b/>
          <w:bCs/>
          <w:sz w:val="32"/>
          <w:szCs w:val="32"/>
        </w:rPr>
        <w:t>2</w:t>
      </w:r>
      <w:r>
        <w:rPr>
          <w:rFonts w:eastAsia="方正仿宋_GBK"/>
          <w:sz w:val="32"/>
          <w:szCs w:val="32"/>
        </w:rPr>
        <w:t>个，主要包括攀枝花市纪检监察教育培训与信息中心</w:t>
      </w:r>
      <w:r>
        <w:rPr>
          <w:rFonts w:hint="eastAsia" w:eastAsia="方正仿宋_GBK"/>
          <w:sz w:val="32"/>
          <w:szCs w:val="32"/>
        </w:rPr>
        <w:t>、</w:t>
      </w:r>
      <w:r>
        <w:rPr>
          <w:rFonts w:eastAsia="方正仿宋_GBK"/>
          <w:sz w:val="32"/>
          <w:szCs w:val="32"/>
        </w:rPr>
        <w:t>攀枝花市巡察服务中心。</w:t>
      </w:r>
    </w:p>
    <w:p w14:paraId="241EFD2E">
      <w:pPr>
        <w:spacing w:line="240" w:lineRule="auto"/>
        <w:ind w:firstLine="640"/>
        <w:rPr>
          <w:rFonts w:hint="eastAsia" w:ascii="方正楷体_GBK" w:hAnsi="方正楷体_GBK" w:eastAsia="方正楷体_GBK" w:cs="方正楷体_GBK"/>
          <w:b/>
          <w:color w:val="auto"/>
          <w:sz w:val="32"/>
          <w:szCs w:val="32"/>
          <w:highlight w:val="none"/>
          <w:lang w:val="zh-CN"/>
        </w:rPr>
      </w:pPr>
      <w:r>
        <w:rPr>
          <w:rFonts w:hint="eastAsia" w:ascii="方正楷体_GBK" w:hAnsi="方正楷体_GBK" w:eastAsia="方正楷体_GBK" w:cs="方正楷体_GBK"/>
          <w:b/>
          <w:color w:val="auto"/>
          <w:sz w:val="32"/>
          <w:szCs w:val="32"/>
          <w:highlight w:val="none"/>
          <w:lang w:val="zh-CN"/>
        </w:rPr>
        <w:t>（</w:t>
      </w:r>
      <w:r>
        <w:rPr>
          <w:rFonts w:hint="eastAsia" w:ascii="方正楷体_GBK" w:hAnsi="方正楷体_GBK" w:eastAsia="方正楷体_GBK" w:cs="方正楷体_GBK"/>
          <w:b/>
          <w:color w:val="auto"/>
          <w:sz w:val="32"/>
          <w:szCs w:val="32"/>
          <w:highlight w:val="none"/>
          <w:lang w:val="en-US" w:eastAsia="zh-CN"/>
        </w:rPr>
        <w:t>二）</w:t>
      </w:r>
      <w:r>
        <w:rPr>
          <w:rFonts w:hint="default" w:ascii="方正楷体_GBK" w:hAnsi="方正楷体_GBK" w:eastAsia="方正楷体_GBK" w:cs="方正楷体_GBK"/>
          <w:b/>
          <w:color w:val="auto"/>
          <w:sz w:val="32"/>
          <w:szCs w:val="32"/>
          <w:highlight w:val="none"/>
          <w:lang w:val="zh-CN"/>
        </w:rPr>
        <w:t>机构职能</w:t>
      </w:r>
    </w:p>
    <w:p w14:paraId="28041FA4">
      <w:pPr>
        <w:numPr>
          <w:ilvl w:val="0"/>
          <w:numId w:val="0"/>
        </w:numPr>
        <w:spacing w:line="240" w:lineRule="auto"/>
        <w:ind w:firstLine="640" w:firstLineChars="200"/>
        <w:rPr>
          <w:rFonts w:eastAsia="方正仿宋_GBK"/>
          <w:sz w:val="32"/>
          <w:szCs w:val="32"/>
        </w:rPr>
      </w:pPr>
      <w:r>
        <w:rPr>
          <w:rFonts w:hint="eastAsia" w:eastAsia="方正仿宋_GBK"/>
          <w:sz w:val="32"/>
          <w:szCs w:val="32"/>
        </w:rPr>
        <w:t>一是负责党的纪律检查工作；二是依照党的章程和其他党内法规履行监督、执纪、问责职责；三是负责全市监察工作；四是依照法律规定履行监督、调查、处置职责；五是负责组织协调全面从严治党、党风廉政建设和反腐败宣传教育工作；六是负责综合分析全面从严治党、党风廉政建设和反腐败工作情况；七是协助市委管理、监督攀枝花纪检监察学院；八是完成市委、省纪委监委交办的其他任务。</w:t>
      </w:r>
    </w:p>
    <w:p w14:paraId="2C191ADD">
      <w:pPr>
        <w:spacing w:line="240" w:lineRule="auto"/>
        <w:ind w:firstLine="640"/>
        <w:rPr>
          <w:rFonts w:eastAsia="方正仿宋_GBK"/>
          <w:sz w:val="32"/>
          <w:szCs w:val="32"/>
        </w:rPr>
      </w:pPr>
      <w:r>
        <w:rPr>
          <w:rFonts w:hint="eastAsia" w:eastAsia="方正仿宋_GBK"/>
          <w:sz w:val="32"/>
          <w:szCs w:val="32"/>
        </w:rPr>
        <w:t>下</w:t>
      </w:r>
      <w:r>
        <w:rPr>
          <w:rFonts w:eastAsia="方正仿宋_GBK"/>
          <w:sz w:val="32"/>
          <w:szCs w:val="32"/>
        </w:rPr>
        <w:t>属二级</w:t>
      </w:r>
      <w:r>
        <w:rPr>
          <w:rFonts w:hint="eastAsia" w:eastAsia="方正仿宋_GBK"/>
          <w:sz w:val="32"/>
          <w:szCs w:val="32"/>
        </w:rPr>
        <w:t>单位</w:t>
      </w:r>
      <w:r>
        <w:rPr>
          <w:rFonts w:eastAsia="方正仿宋_GBK"/>
          <w:sz w:val="32"/>
          <w:szCs w:val="32"/>
        </w:rPr>
        <w:t>：</w:t>
      </w:r>
    </w:p>
    <w:p w14:paraId="100FF594">
      <w:pPr>
        <w:spacing w:line="240" w:lineRule="auto"/>
        <w:ind w:firstLine="640"/>
        <w:rPr>
          <w:rFonts w:eastAsia="方正仿宋_GBK"/>
          <w:sz w:val="32"/>
          <w:szCs w:val="32"/>
        </w:rPr>
      </w:pPr>
      <w:r>
        <w:rPr>
          <w:rFonts w:eastAsia="方正仿宋_GBK"/>
          <w:sz w:val="32"/>
          <w:szCs w:val="32"/>
        </w:rPr>
        <w:t>攀枝</w:t>
      </w:r>
      <w:r>
        <w:rPr>
          <w:rFonts w:hint="eastAsia" w:eastAsia="方正仿宋_GBK"/>
          <w:sz w:val="32"/>
          <w:szCs w:val="32"/>
        </w:rPr>
        <w:t>花</w:t>
      </w:r>
      <w:r>
        <w:rPr>
          <w:rFonts w:eastAsia="方正仿宋_GBK"/>
          <w:sz w:val="32"/>
          <w:szCs w:val="32"/>
        </w:rPr>
        <w:t>市纪检监察教育培训与信息中心承担</w:t>
      </w:r>
      <w:r>
        <w:rPr>
          <w:rFonts w:hint="eastAsia" w:eastAsia="方正仿宋_GBK"/>
          <w:sz w:val="32"/>
          <w:szCs w:val="32"/>
        </w:rPr>
        <w:t>全市纪检监察系统信息化建设服务、纪检监察干部的教育培训和查办党纪政纪案件的后勤保障服务工作，同时负责攀枝花市监委留置场所接纳、安置对象工作和场所的日常管理、安全保卫等后勤服务保障工作。</w:t>
      </w:r>
    </w:p>
    <w:p w14:paraId="158280D7">
      <w:pPr>
        <w:spacing w:line="240" w:lineRule="auto"/>
        <w:ind w:firstLine="640"/>
        <w:rPr>
          <w:rFonts w:hint="default" w:ascii="Times New Roman" w:hAnsi="Times New Roman" w:eastAsia="楷体_GB2312" w:cs="Times New Roman"/>
          <w:b/>
          <w:bCs/>
          <w:color w:val="000000"/>
          <w:kern w:val="0"/>
          <w:sz w:val="32"/>
          <w:szCs w:val="32"/>
          <w:highlight w:val="none"/>
          <w:shd w:val="clear" w:color="auto" w:fill="FFFFFF"/>
          <w:lang w:val="zh-CN"/>
        </w:rPr>
      </w:pPr>
      <w:r>
        <w:rPr>
          <w:rFonts w:eastAsia="方正仿宋_GBK"/>
          <w:sz w:val="32"/>
          <w:szCs w:val="32"/>
        </w:rPr>
        <w:t>攀</w:t>
      </w:r>
      <w:r>
        <w:rPr>
          <w:rFonts w:hint="eastAsia" w:eastAsia="方正仿宋_GBK"/>
          <w:sz w:val="32"/>
          <w:szCs w:val="32"/>
        </w:rPr>
        <w:t>枝</w:t>
      </w:r>
      <w:r>
        <w:rPr>
          <w:rFonts w:eastAsia="方正仿宋_GBK"/>
          <w:sz w:val="32"/>
          <w:szCs w:val="32"/>
        </w:rPr>
        <w:t>花市巡察服务中心承担全市巡视巡察系统信息化建设和巡察资料收集、整理、归档工作；负责巡察期间信访接待</w:t>
      </w:r>
      <w:r>
        <w:rPr>
          <w:rFonts w:hint="eastAsia" w:eastAsia="方正仿宋_GBK"/>
          <w:sz w:val="32"/>
          <w:szCs w:val="32"/>
        </w:rPr>
        <w:t>、</w:t>
      </w:r>
      <w:r>
        <w:rPr>
          <w:rFonts w:eastAsia="方正仿宋_GBK"/>
          <w:sz w:val="32"/>
          <w:szCs w:val="32"/>
        </w:rPr>
        <w:t>沟通联络、保障服务等工作；配合开展全市巡察干部教育培训</w:t>
      </w:r>
      <w:r>
        <w:rPr>
          <w:rFonts w:hint="eastAsia" w:eastAsia="方正仿宋_GBK"/>
          <w:sz w:val="32"/>
          <w:szCs w:val="32"/>
        </w:rPr>
        <w:t>。</w:t>
      </w:r>
    </w:p>
    <w:p w14:paraId="1AB8B86C">
      <w:pPr>
        <w:spacing w:line="240" w:lineRule="auto"/>
        <w:ind w:firstLine="640"/>
        <w:rPr>
          <w:rFonts w:hint="eastAsia" w:ascii="方正楷体_GBK" w:hAnsi="方正楷体_GBK" w:eastAsia="方正楷体_GBK" w:cs="方正楷体_GBK"/>
          <w:b/>
          <w:color w:val="auto"/>
          <w:sz w:val="32"/>
          <w:szCs w:val="32"/>
          <w:highlight w:val="none"/>
          <w:lang w:val="zh-CN"/>
        </w:rPr>
      </w:pPr>
      <w:r>
        <w:rPr>
          <w:rFonts w:hint="eastAsia" w:ascii="方正楷体_GBK" w:hAnsi="方正楷体_GBK" w:eastAsia="方正楷体_GBK" w:cs="方正楷体_GBK"/>
          <w:b/>
          <w:color w:val="auto"/>
          <w:sz w:val="32"/>
          <w:szCs w:val="32"/>
          <w:highlight w:val="none"/>
          <w:lang w:val="zh-CN"/>
        </w:rPr>
        <w:t>（</w:t>
      </w:r>
      <w:r>
        <w:rPr>
          <w:rFonts w:hint="eastAsia" w:ascii="方正楷体_GBK" w:hAnsi="方正楷体_GBK" w:eastAsia="方正楷体_GBK" w:cs="方正楷体_GBK"/>
          <w:b/>
          <w:color w:val="auto"/>
          <w:sz w:val="32"/>
          <w:szCs w:val="32"/>
          <w:highlight w:val="none"/>
          <w:lang w:val="en-US" w:eastAsia="zh-CN"/>
        </w:rPr>
        <w:t>三）</w:t>
      </w:r>
      <w:r>
        <w:rPr>
          <w:rFonts w:hint="default" w:ascii="方正楷体_GBK" w:hAnsi="方正楷体_GBK" w:eastAsia="方正楷体_GBK" w:cs="方正楷体_GBK"/>
          <w:b/>
          <w:color w:val="auto"/>
          <w:sz w:val="32"/>
          <w:szCs w:val="32"/>
          <w:highlight w:val="none"/>
          <w:lang w:val="zh-CN"/>
        </w:rPr>
        <w:t>人员概况</w:t>
      </w:r>
    </w:p>
    <w:p w14:paraId="1107C15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cs="Times New Roman"/>
          <w:szCs w:val="32"/>
        </w:rPr>
      </w:pPr>
      <w:r>
        <w:rPr>
          <w:rFonts w:hint="default" w:ascii="Times New Roman" w:hAnsi="Times New Roman" w:eastAsia="方正仿宋_GBK" w:cs="Times New Roman"/>
          <w:sz w:val="32"/>
          <w:szCs w:val="32"/>
        </w:rPr>
        <w:t>截至</w:t>
      </w:r>
      <w:r>
        <w:rPr>
          <w:rFonts w:hint="default" w:ascii="Times New Roman" w:hAnsi="Times New Roman" w:eastAsia="方正仿宋_GBK" w:cs="Times New Roman"/>
          <w:b/>
          <w:bCs/>
          <w:sz w:val="32"/>
          <w:szCs w:val="32"/>
        </w:rPr>
        <w:t>202</w:t>
      </w:r>
      <w:r>
        <w:rPr>
          <w:rFonts w:hint="eastAsia" w:eastAsia="方正仿宋_GBK" w:cs="Times New Roman"/>
          <w:b/>
          <w:bCs/>
          <w:sz w:val="32"/>
          <w:szCs w:val="32"/>
          <w:lang w:val="en-US" w:eastAsia="zh-CN"/>
        </w:rPr>
        <w:t>5</w:t>
      </w:r>
      <w:r>
        <w:rPr>
          <w:rFonts w:hint="default" w:ascii="Times New Roman" w:hAnsi="Times New Roman" w:eastAsia="方正仿宋_GBK" w:cs="Times New Roman"/>
          <w:sz w:val="32"/>
          <w:szCs w:val="32"/>
        </w:rPr>
        <w:t>年末，</w:t>
      </w:r>
      <w:r>
        <w:rPr>
          <w:rFonts w:hint="default" w:ascii="Times New Roman" w:hAnsi="Times New Roman" w:eastAsia="方正仿宋_GBK" w:cs="Times New Roman"/>
          <w:sz w:val="32"/>
          <w:szCs w:val="32"/>
          <w:lang w:eastAsia="zh-CN"/>
        </w:rPr>
        <w:t>中国共产党攀枝花市纪律检查委员会（攀枝花市监察委员会）</w:t>
      </w:r>
      <w:r>
        <w:rPr>
          <w:rFonts w:hint="default" w:ascii="Times New Roman" w:hAnsi="Times New Roman" w:eastAsia="方正仿宋_GBK" w:cs="Times New Roman"/>
          <w:sz w:val="32"/>
          <w:szCs w:val="32"/>
        </w:rPr>
        <w:t>编制数</w:t>
      </w:r>
      <w:r>
        <w:rPr>
          <w:rFonts w:hint="default" w:ascii="Times New Roman" w:hAnsi="Times New Roman" w:eastAsia="方正仿宋_GBK" w:cs="Times New Roman"/>
          <w:b/>
          <w:bCs/>
          <w:sz w:val="32"/>
          <w:szCs w:val="32"/>
        </w:rPr>
        <w:t>87</w:t>
      </w:r>
      <w:r>
        <w:rPr>
          <w:rFonts w:hint="default" w:ascii="Times New Roman" w:hAnsi="Times New Roman" w:eastAsia="方正仿宋_GBK" w:cs="Times New Roman"/>
          <w:sz w:val="32"/>
          <w:szCs w:val="32"/>
        </w:rPr>
        <w:t>人，其中：行政编制</w:t>
      </w:r>
      <w:r>
        <w:rPr>
          <w:rFonts w:hint="default" w:ascii="Times New Roman" w:hAnsi="Times New Roman" w:eastAsia="方正仿宋_GBK" w:cs="Times New Roman"/>
          <w:b/>
          <w:bCs/>
          <w:sz w:val="32"/>
          <w:szCs w:val="32"/>
        </w:rPr>
        <w:t>80</w:t>
      </w:r>
      <w:r>
        <w:rPr>
          <w:rFonts w:hint="default" w:ascii="Times New Roman" w:hAnsi="Times New Roman" w:eastAsia="方正仿宋_GBK" w:cs="Times New Roman"/>
          <w:sz w:val="32"/>
          <w:szCs w:val="32"/>
        </w:rPr>
        <w:t>人（含市委巡察办</w:t>
      </w:r>
      <w:r>
        <w:rPr>
          <w:rFonts w:hint="default" w:ascii="Times New Roman" w:hAnsi="Times New Roman" w:eastAsia="方正仿宋_GBK" w:cs="Times New Roman"/>
          <w:b/>
          <w:bCs/>
          <w:sz w:val="32"/>
          <w:szCs w:val="32"/>
        </w:rPr>
        <w:t>13</w:t>
      </w:r>
      <w:r>
        <w:rPr>
          <w:rFonts w:hint="default" w:ascii="Times New Roman" w:hAnsi="Times New Roman" w:eastAsia="方正仿宋_GBK" w:cs="Times New Roman"/>
          <w:sz w:val="32"/>
          <w:szCs w:val="32"/>
        </w:rPr>
        <w:t>人），机关工勤编</w:t>
      </w:r>
      <w:r>
        <w:rPr>
          <w:rFonts w:hint="default" w:ascii="Times New Roman" w:hAnsi="Times New Roman" w:eastAsia="方正仿宋_GBK" w:cs="Times New Roman"/>
          <w:b/>
          <w:bCs/>
          <w:sz w:val="32"/>
          <w:szCs w:val="32"/>
        </w:rPr>
        <w:t>7</w:t>
      </w:r>
      <w:r>
        <w:rPr>
          <w:rFonts w:hint="default" w:ascii="Times New Roman" w:hAnsi="Times New Roman" w:eastAsia="方正仿宋_GBK" w:cs="Times New Roman"/>
          <w:sz w:val="32"/>
          <w:szCs w:val="32"/>
        </w:rPr>
        <w:t>人。</w:t>
      </w:r>
      <w:r>
        <w:rPr>
          <w:rFonts w:hint="default" w:ascii="Times New Roman" w:hAnsi="Times New Roman" w:eastAsia="方正仿宋_GBK" w:cs="Times New Roman"/>
          <w:b/>
          <w:bCs/>
          <w:sz w:val="32"/>
          <w:szCs w:val="32"/>
        </w:rPr>
        <w:t>202</w:t>
      </w:r>
      <w:r>
        <w:rPr>
          <w:rFonts w:hint="eastAsia" w:eastAsia="方正仿宋_GBK" w:cs="Times New Roman"/>
          <w:b/>
          <w:bCs/>
          <w:sz w:val="32"/>
          <w:szCs w:val="32"/>
          <w:lang w:val="en-US" w:eastAsia="zh-CN"/>
        </w:rPr>
        <w:t>5</w:t>
      </w:r>
      <w:r>
        <w:rPr>
          <w:rFonts w:hint="default" w:ascii="Times New Roman" w:hAnsi="Times New Roman" w:eastAsia="方正仿宋_GBK" w:cs="Times New Roman"/>
          <w:sz w:val="32"/>
          <w:szCs w:val="32"/>
        </w:rPr>
        <w:t>年底实有人数</w:t>
      </w:r>
      <w:r>
        <w:rPr>
          <w:rFonts w:hint="eastAsia" w:eastAsia="方正仿宋_GBK" w:cs="Times New Roman"/>
          <w:b/>
          <w:bCs/>
          <w:sz w:val="32"/>
          <w:szCs w:val="32"/>
          <w:lang w:val="en-US" w:eastAsia="zh-CN"/>
        </w:rPr>
        <w:t>90</w:t>
      </w:r>
      <w:r>
        <w:rPr>
          <w:rFonts w:hint="default" w:ascii="Times New Roman" w:hAnsi="Times New Roman" w:eastAsia="方正仿宋_GBK" w:cs="Times New Roman"/>
          <w:sz w:val="32"/>
          <w:szCs w:val="32"/>
        </w:rPr>
        <w:t>人，其中：行政人员</w:t>
      </w:r>
      <w:r>
        <w:rPr>
          <w:rFonts w:hint="eastAsia" w:eastAsia="方正仿宋_GBK" w:cs="Times New Roman"/>
          <w:b/>
          <w:bCs/>
          <w:sz w:val="32"/>
          <w:szCs w:val="32"/>
          <w:lang w:val="en-US" w:eastAsia="zh-CN"/>
        </w:rPr>
        <w:t>81</w:t>
      </w:r>
      <w:r>
        <w:rPr>
          <w:rFonts w:hint="default" w:ascii="Times New Roman" w:hAnsi="Times New Roman" w:eastAsia="方正仿宋_GBK" w:cs="Times New Roman"/>
          <w:sz w:val="32"/>
          <w:szCs w:val="32"/>
        </w:rPr>
        <w:t>人（含市委巡察办），工勤</w:t>
      </w:r>
      <w:r>
        <w:rPr>
          <w:rFonts w:hint="default" w:ascii="Times New Roman" w:hAnsi="Times New Roman" w:eastAsia="方正仿宋_GBK" w:cs="Times New Roman"/>
          <w:b/>
          <w:bCs/>
          <w:sz w:val="32"/>
          <w:szCs w:val="32"/>
        </w:rPr>
        <w:t>2</w:t>
      </w:r>
      <w:r>
        <w:rPr>
          <w:rFonts w:hint="default" w:ascii="Times New Roman" w:hAnsi="Times New Roman" w:eastAsia="方正仿宋_GBK" w:cs="Times New Roman"/>
          <w:sz w:val="32"/>
          <w:szCs w:val="32"/>
        </w:rPr>
        <w:t>人，占编用</w:t>
      </w:r>
      <w:r>
        <w:rPr>
          <w:rFonts w:hint="eastAsia" w:eastAsia="方正仿宋_GBK" w:cs="Times New Roman"/>
          <w:b/>
          <w:bCs/>
          <w:sz w:val="32"/>
          <w:szCs w:val="32"/>
          <w:lang w:val="en-US" w:eastAsia="zh-CN"/>
        </w:rPr>
        <w:t>7</w:t>
      </w:r>
      <w:r>
        <w:rPr>
          <w:rFonts w:hint="default" w:ascii="Times New Roman" w:hAnsi="Times New Roman" w:eastAsia="方正仿宋_GBK" w:cs="Times New Roman"/>
          <w:sz w:val="32"/>
          <w:szCs w:val="32"/>
        </w:rPr>
        <w:t>人。离退休职工共计</w:t>
      </w:r>
      <w:r>
        <w:rPr>
          <w:rFonts w:hint="eastAsia" w:eastAsia="方正仿宋_GBK" w:cs="Times New Roman"/>
          <w:b/>
          <w:bCs/>
          <w:sz w:val="32"/>
          <w:szCs w:val="32"/>
          <w:lang w:val="en-US" w:eastAsia="zh-CN"/>
        </w:rPr>
        <w:t>36</w:t>
      </w:r>
      <w:r>
        <w:rPr>
          <w:rFonts w:hint="default" w:ascii="Times New Roman" w:hAnsi="Times New Roman" w:eastAsia="方正仿宋_GBK" w:cs="Times New Roman"/>
          <w:sz w:val="32"/>
          <w:szCs w:val="32"/>
        </w:rPr>
        <w:t>人，其中：离休</w:t>
      </w:r>
      <w:r>
        <w:rPr>
          <w:rFonts w:hint="default" w:ascii="Times New Roman" w:hAnsi="Times New Roman" w:eastAsia="方正仿宋_GBK" w:cs="Times New Roman"/>
          <w:b/>
          <w:bCs/>
          <w:sz w:val="32"/>
          <w:szCs w:val="32"/>
          <w:lang w:val="en-US" w:eastAsia="zh-CN"/>
        </w:rPr>
        <w:t>1</w:t>
      </w:r>
      <w:r>
        <w:rPr>
          <w:rFonts w:hint="default" w:ascii="Times New Roman" w:hAnsi="Times New Roman" w:eastAsia="方正仿宋_GBK" w:cs="Times New Roman"/>
          <w:sz w:val="32"/>
          <w:szCs w:val="32"/>
        </w:rPr>
        <w:t>人，退休</w:t>
      </w:r>
      <w:r>
        <w:rPr>
          <w:rFonts w:hint="default" w:ascii="Times New Roman" w:hAnsi="Times New Roman" w:eastAsia="方正仿宋_GBK" w:cs="Times New Roman"/>
          <w:b/>
          <w:bCs/>
          <w:sz w:val="32"/>
          <w:szCs w:val="32"/>
          <w:lang w:val="en-US" w:eastAsia="zh-CN"/>
        </w:rPr>
        <w:t>3</w:t>
      </w:r>
      <w:r>
        <w:rPr>
          <w:rFonts w:hint="eastAsia" w:eastAsia="方正仿宋_GBK" w:cs="Times New Roman"/>
          <w:b/>
          <w:bCs/>
          <w:sz w:val="32"/>
          <w:szCs w:val="32"/>
          <w:lang w:val="en-US" w:eastAsia="zh-CN"/>
        </w:rPr>
        <w:t>5</w:t>
      </w:r>
      <w:r>
        <w:rPr>
          <w:rFonts w:hint="default" w:ascii="Times New Roman" w:hAnsi="Times New Roman" w:eastAsia="方正仿宋_GBK" w:cs="Times New Roman"/>
          <w:sz w:val="32"/>
          <w:szCs w:val="32"/>
        </w:rPr>
        <w:t>人。</w:t>
      </w:r>
      <w:r>
        <w:rPr>
          <w:rFonts w:hint="eastAsia" w:ascii="Times New Roman" w:hAnsi="Times New Roman" w:eastAsia="方正仿宋_GBK" w:cs="Times New Roman"/>
          <w:sz w:val="32"/>
          <w:szCs w:val="32"/>
          <w:lang w:val="en-US" w:eastAsia="zh-CN"/>
        </w:rPr>
        <w:t>下属市纪检监察教育培训与信息中心</w:t>
      </w:r>
      <w:r>
        <w:rPr>
          <w:rFonts w:hint="eastAsia" w:eastAsia="方正仿宋_GBK" w:cs="Times New Roman"/>
          <w:sz w:val="32"/>
          <w:szCs w:val="32"/>
          <w:lang w:val="en-US" w:eastAsia="zh-CN"/>
        </w:rPr>
        <w:t>（含巡察服务中心</w:t>
      </w:r>
      <w:r>
        <w:rPr>
          <w:rFonts w:hint="eastAsia" w:eastAsia="方正仿宋_GBK" w:cs="Times New Roman"/>
          <w:b/>
          <w:bCs/>
          <w:sz w:val="32"/>
          <w:szCs w:val="32"/>
          <w:lang w:val="en-US" w:eastAsia="zh-CN"/>
        </w:rPr>
        <w:t>5</w:t>
      </w:r>
      <w:r>
        <w:rPr>
          <w:rFonts w:hint="eastAsia" w:eastAsia="方正仿宋_GBK" w:cs="Times New Roman"/>
          <w:sz w:val="32"/>
          <w:szCs w:val="32"/>
          <w:lang w:val="en-US" w:eastAsia="zh-CN"/>
        </w:rPr>
        <w:t>人）</w:t>
      </w:r>
      <w:r>
        <w:rPr>
          <w:rFonts w:hint="eastAsia" w:ascii="Times New Roman" w:hAnsi="Times New Roman" w:eastAsia="方正仿宋_GBK" w:cs="Times New Roman"/>
          <w:sz w:val="32"/>
          <w:szCs w:val="32"/>
          <w:lang w:val="en-US" w:eastAsia="zh-CN"/>
        </w:rPr>
        <w:t>现有事业编制</w:t>
      </w:r>
      <w:r>
        <w:rPr>
          <w:rFonts w:hint="eastAsia" w:ascii="Times New Roman" w:hAnsi="Times New Roman" w:eastAsia="方正仿宋_GBK" w:cs="Times New Roman"/>
          <w:b/>
          <w:bCs/>
          <w:sz w:val="32"/>
          <w:szCs w:val="32"/>
          <w:lang w:val="en-US" w:eastAsia="zh-CN"/>
        </w:rPr>
        <w:t>24</w:t>
      </w:r>
      <w:r>
        <w:rPr>
          <w:rFonts w:hint="eastAsia" w:ascii="Times New Roman" w:hAnsi="Times New Roman" w:eastAsia="方正仿宋_GBK" w:cs="Times New Roman"/>
          <w:sz w:val="32"/>
          <w:szCs w:val="32"/>
          <w:lang w:val="en-US" w:eastAsia="zh-CN"/>
        </w:rPr>
        <w:t>人，</w:t>
      </w:r>
      <w:r>
        <w:rPr>
          <w:rFonts w:hint="eastAsia" w:ascii="Times New Roman" w:hAnsi="Times New Roman" w:eastAsia="方正仿宋_GBK" w:cs="Times New Roman"/>
          <w:b/>
          <w:bCs/>
          <w:sz w:val="32"/>
          <w:szCs w:val="32"/>
          <w:lang w:val="en-US" w:eastAsia="zh-CN"/>
        </w:rPr>
        <w:t>202</w:t>
      </w:r>
      <w:r>
        <w:rPr>
          <w:rFonts w:hint="eastAsia" w:eastAsia="方正仿宋_GBK" w:cs="Times New Roman"/>
          <w:b/>
          <w:bCs/>
          <w:sz w:val="32"/>
          <w:szCs w:val="32"/>
          <w:lang w:val="en-US" w:eastAsia="zh-CN"/>
        </w:rPr>
        <w:t>5</w:t>
      </w:r>
      <w:r>
        <w:rPr>
          <w:rFonts w:hint="eastAsia" w:ascii="Times New Roman" w:hAnsi="Times New Roman" w:eastAsia="方正仿宋_GBK" w:cs="Times New Roman"/>
          <w:sz w:val="32"/>
          <w:szCs w:val="32"/>
          <w:lang w:val="en-US" w:eastAsia="zh-CN"/>
        </w:rPr>
        <w:t>年底实有人数共有在职人员</w:t>
      </w:r>
      <w:r>
        <w:rPr>
          <w:rFonts w:hint="eastAsia" w:ascii="Times New Roman" w:hAnsi="Times New Roman" w:eastAsia="方正仿宋_GBK" w:cs="Times New Roman"/>
          <w:b/>
          <w:bCs/>
          <w:sz w:val="32"/>
          <w:szCs w:val="32"/>
          <w:lang w:val="en-US" w:eastAsia="zh-CN"/>
        </w:rPr>
        <w:t>1</w:t>
      </w:r>
      <w:r>
        <w:rPr>
          <w:rFonts w:hint="eastAsia" w:eastAsia="方正仿宋_GBK" w:cs="Times New Roman"/>
          <w:b/>
          <w:bCs/>
          <w:sz w:val="32"/>
          <w:szCs w:val="32"/>
          <w:lang w:val="en-US" w:eastAsia="zh-CN"/>
        </w:rPr>
        <w:t>9</w:t>
      </w:r>
      <w:r>
        <w:rPr>
          <w:rFonts w:hint="eastAsia" w:ascii="Times New Roman" w:hAnsi="Times New Roman" w:eastAsia="方正仿宋_GBK" w:cs="Times New Roman"/>
          <w:sz w:val="32"/>
          <w:szCs w:val="32"/>
          <w:lang w:val="en-US" w:eastAsia="zh-CN"/>
        </w:rPr>
        <w:t>人</w:t>
      </w:r>
      <w:r>
        <w:rPr>
          <w:rFonts w:hint="eastAsia" w:ascii="Times New Roman" w:hAnsi="Times New Roman" w:eastAsia="方正仿宋_GBK" w:cs="Times New Roman"/>
          <w:color w:val="auto"/>
          <w:sz w:val="32"/>
          <w:szCs w:val="32"/>
          <w:lang w:eastAsia="zh-CN"/>
        </w:rPr>
        <w:t>。</w:t>
      </w:r>
    </w:p>
    <w:p w14:paraId="288EEA28">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default" w:ascii="Times New Roman" w:hAnsi="Times New Roman" w:eastAsia="黑体" w:cs="Times New Roman"/>
          <w:color w:val="000000"/>
          <w:kern w:val="0"/>
          <w:sz w:val="32"/>
          <w:szCs w:val="32"/>
          <w:highlight w:val="none"/>
          <w:shd w:val="clear" w:color="auto" w:fill="FFFFFF"/>
          <w:lang w:val="zh-CN" w:eastAsia="zh-CN"/>
        </w:rPr>
        <w:t>二、部门资金收支情况</w:t>
      </w:r>
    </w:p>
    <w:p w14:paraId="24A4B0BA">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楷体_GBK" w:cs="Times New Roman"/>
          <w:b/>
          <w:bCs/>
          <w:sz w:val="32"/>
          <w:szCs w:val="32"/>
          <w:lang w:val="zh-CN" w:eastAsia="zh-CN" w:bidi="ar-SA"/>
        </w:rPr>
        <w:t>（一）收入情况。</w:t>
      </w:r>
      <w:r>
        <w:rPr>
          <w:rFonts w:hint="default" w:ascii="Times New Roman" w:hAnsi="Times New Roman" w:eastAsia="方正仿宋_GBK" w:cs="Times New Roman"/>
          <w:sz w:val="32"/>
          <w:szCs w:val="32"/>
          <w:lang w:val="en-US" w:eastAsia="zh-CN" w:bidi="ar-SA"/>
        </w:rPr>
        <w:t>中国共产党攀枝花市纪律检查委员会部门</w:t>
      </w:r>
      <w:r>
        <w:rPr>
          <w:rFonts w:hint="default" w:ascii="Times New Roman" w:hAnsi="Times New Roman" w:eastAsia="方正仿宋_GBK" w:cs="Times New Roman"/>
          <w:b/>
          <w:bCs/>
          <w:sz w:val="32"/>
          <w:szCs w:val="32"/>
          <w:lang w:val="en-US" w:eastAsia="zh-CN" w:bidi="ar-SA"/>
        </w:rPr>
        <w:t>202</w:t>
      </w:r>
      <w:r>
        <w:rPr>
          <w:rFonts w:hint="eastAsia" w:eastAsia="方正仿宋_GBK" w:cs="Times New Roman"/>
          <w:b/>
          <w:bCs/>
          <w:sz w:val="32"/>
          <w:szCs w:val="32"/>
          <w:lang w:val="en-US" w:eastAsia="zh-CN" w:bidi="ar-SA"/>
        </w:rPr>
        <w:t>5</w:t>
      </w:r>
      <w:r>
        <w:rPr>
          <w:rFonts w:hint="default" w:ascii="Times New Roman" w:hAnsi="Times New Roman" w:eastAsia="方正仿宋_GBK" w:cs="Times New Roman"/>
          <w:sz w:val="32"/>
          <w:szCs w:val="32"/>
          <w:lang w:val="en-US" w:eastAsia="zh-CN" w:bidi="ar-SA"/>
        </w:rPr>
        <w:t>年初预算收入</w:t>
      </w:r>
      <w:r>
        <w:rPr>
          <w:rFonts w:hint="eastAsia" w:eastAsia="方正仿宋_GBK" w:cs="Times New Roman"/>
          <w:b/>
          <w:bCs/>
          <w:sz w:val="32"/>
          <w:szCs w:val="32"/>
          <w:lang w:val="en-US" w:eastAsia="zh-CN" w:bidi="ar-SA"/>
        </w:rPr>
        <w:t>2985.23</w:t>
      </w:r>
      <w:r>
        <w:rPr>
          <w:rFonts w:hint="default" w:ascii="Times New Roman" w:hAnsi="Times New Roman" w:eastAsia="方正仿宋_GBK" w:cs="Times New Roman"/>
          <w:sz w:val="32"/>
          <w:szCs w:val="32"/>
          <w:lang w:val="en-US" w:eastAsia="zh-CN" w:bidi="ar-SA"/>
        </w:rPr>
        <w:t>万元，全年预算收入</w:t>
      </w:r>
      <w:r>
        <w:rPr>
          <w:rFonts w:hint="eastAsia" w:eastAsia="方正仿宋_GBK" w:cs="Times New Roman"/>
          <w:b/>
          <w:bCs/>
          <w:sz w:val="32"/>
          <w:szCs w:val="32"/>
          <w:lang w:val="en-US" w:eastAsia="zh-CN" w:bidi="ar-SA"/>
        </w:rPr>
        <w:t>4752.66</w:t>
      </w:r>
      <w:r>
        <w:rPr>
          <w:rFonts w:hint="default" w:ascii="Times New Roman" w:hAnsi="Times New Roman" w:eastAsia="方正仿宋_GBK" w:cs="Times New Roman"/>
          <w:sz w:val="32"/>
          <w:szCs w:val="32"/>
          <w:lang w:val="en-US" w:eastAsia="zh-CN" w:bidi="ar-SA"/>
        </w:rPr>
        <w:t>万元。</w:t>
      </w:r>
    </w:p>
    <w:p w14:paraId="0E020E13">
      <w:pPr>
        <w:keepNext w:val="0"/>
        <w:keepLines w:val="0"/>
        <w:pageBreakBefore w:val="0"/>
        <w:widowControl/>
        <w:kinsoku/>
        <w:wordWrap/>
        <w:overflowPunct/>
        <w:topLinePunct w:val="0"/>
        <w:autoSpaceDE/>
        <w:autoSpaceDN/>
        <w:bidi w:val="0"/>
        <w:adjustRightInd w:val="0"/>
        <w:snapToGrid w:val="0"/>
        <w:spacing w:line="576" w:lineRule="exact"/>
        <w:ind w:firstLine="643" w:firstLineChars="200"/>
        <w:contextualSpacing/>
        <w:jc w:val="left"/>
        <w:textAlignment w:val="auto"/>
        <w:rPr>
          <w:rFonts w:hint="default" w:ascii="Times New Roman" w:hAnsi="Times New Roman" w:eastAsia="方正仿宋_GBK" w:cs="Times New Roman"/>
          <w:sz w:val="32"/>
          <w:szCs w:val="32"/>
          <w:lang w:val="en-US" w:eastAsia="en-US" w:bidi="ar-SA"/>
        </w:rPr>
      </w:pPr>
      <w:r>
        <w:rPr>
          <w:rFonts w:hint="default" w:ascii="Times New Roman" w:hAnsi="Times New Roman" w:eastAsia="方正楷体_GBK" w:cs="Times New Roman"/>
          <w:b/>
          <w:bCs/>
          <w:sz w:val="32"/>
          <w:szCs w:val="32"/>
          <w:lang w:val="zh-CN" w:eastAsia="zh-CN" w:bidi="ar-SA"/>
        </w:rPr>
        <w:t>（二）支出情况。</w:t>
      </w:r>
      <w:r>
        <w:rPr>
          <w:rFonts w:hint="default" w:ascii="Times New Roman" w:hAnsi="Times New Roman" w:eastAsia="方正仿宋_GBK" w:cs="Times New Roman"/>
          <w:sz w:val="32"/>
          <w:szCs w:val="32"/>
          <w:lang w:val="en-US" w:eastAsia="zh-CN" w:bidi="ar-SA"/>
        </w:rPr>
        <w:t>中国共产党攀枝花市纪律检查委员会部门</w:t>
      </w:r>
      <w:r>
        <w:rPr>
          <w:rFonts w:hint="default" w:ascii="Times New Roman" w:hAnsi="Times New Roman" w:eastAsia="方正仿宋_GBK" w:cs="Times New Roman"/>
          <w:b/>
          <w:bCs/>
          <w:sz w:val="32"/>
          <w:szCs w:val="32"/>
          <w:lang w:val="en-US" w:eastAsia="zh-CN" w:bidi="ar-SA"/>
        </w:rPr>
        <w:t>202</w:t>
      </w:r>
      <w:r>
        <w:rPr>
          <w:rFonts w:hint="eastAsia" w:eastAsia="方正仿宋_GBK" w:cs="Times New Roman"/>
          <w:b/>
          <w:bCs/>
          <w:sz w:val="32"/>
          <w:szCs w:val="32"/>
          <w:lang w:val="en-US" w:eastAsia="zh-CN" w:bidi="ar-SA"/>
        </w:rPr>
        <w:t>5</w:t>
      </w:r>
      <w:r>
        <w:rPr>
          <w:rFonts w:hint="default" w:ascii="Times New Roman" w:hAnsi="Times New Roman" w:eastAsia="方正仿宋_GBK" w:cs="Times New Roman"/>
          <w:sz w:val="32"/>
          <w:szCs w:val="32"/>
          <w:lang w:val="en-US" w:eastAsia="zh-CN" w:bidi="ar-SA"/>
        </w:rPr>
        <w:t>年初预算支出</w:t>
      </w:r>
      <w:r>
        <w:rPr>
          <w:rFonts w:hint="eastAsia" w:eastAsia="方正仿宋_GBK" w:cs="Times New Roman"/>
          <w:b/>
          <w:bCs/>
          <w:sz w:val="32"/>
          <w:szCs w:val="32"/>
          <w:lang w:val="en-US" w:eastAsia="zh-CN" w:bidi="ar-SA"/>
        </w:rPr>
        <w:t>2985.23</w:t>
      </w:r>
      <w:r>
        <w:rPr>
          <w:rFonts w:hint="default" w:ascii="Times New Roman" w:hAnsi="Times New Roman" w:eastAsia="方正仿宋_GBK" w:cs="Times New Roman"/>
          <w:sz w:val="32"/>
          <w:szCs w:val="32"/>
          <w:lang w:val="en-US" w:eastAsia="zh-CN" w:bidi="ar-SA"/>
        </w:rPr>
        <w:t>万元，全年预算支出</w:t>
      </w:r>
      <w:r>
        <w:rPr>
          <w:rFonts w:hint="eastAsia" w:eastAsia="方正仿宋_GBK" w:cs="Times New Roman"/>
          <w:b/>
          <w:bCs/>
          <w:sz w:val="32"/>
          <w:szCs w:val="32"/>
          <w:lang w:val="en-US" w:eastAsia="zh-CN" w:bidi="ar-SA"/>
        </w:rPr>
        <w:t>4752.48</w:t>
      </w:r>
      <w:r>
        <w:rPr>
          <w:rFonts w:hint="default" w:ascii="Times New Roman" w:hAnsi="Times New Roman" w:eastAsia="方正仿宋_GBK" w:cs="Times New Roman"/>
          <w:sz w:val="32"/>
          <w:szCs w:val="32"/>
          <w:lang w:val="en-US" w:eastAsia="zh-CN" w:bidi="ar-SA"/>
        </w:rPr>
        <w:t>万元。</w:t>
      </w:r>
    </w:p>
    <w:p w14:paraId="32872828">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3" w:firstLineChars="200"/>
        <w:contextualSpacing/>
        <w:jc w:val="left"/>
        <w:textAlignment w:val="auto"/>
        <w:outlineLvl w:val="9"/>
        <w:rPr>
          <w:rFonts w:hint="default" w:ascii="Times New Roman" w:hAnsi="Times New Roman" w:eastAsia="方正仿宋_GBK" w:cs="Times New Roman"/>
          <w:sz w:val="32"/>
          <w:szCs w:val="32"/>
          <w:lang w:bidi="ar-SA"/>
        </w:rPr>
      </w:pPr>
      <w:r>
        <w:rPr>
          <w:rFonts w:hint="default" w:ascii="Times New Roman" w:hAnsi="Times New Roman" w:eastAsia="方正楷体_GBK" w:cs="Times New Roman"/>
          <w:b/>
          <w:bCs/>
          <w:sz w:val="32"/>
          <w:szCs w:val="32"/>
          <w:lang w:val="zh-CN" w:eastAsia="zh-CN" w:bidi="ar-SA"/>
        </w:rPr>
        <w:t>（三）结余分配和结转结余情况。</w:t>
      </w:r>
      <w:r>
        <w:rPr>
          <w:rFonts w:hint="default" w:ascii="Times New Roman" w:hAnsi="Times New Roman" w:eastAsia="方正仿宋_GBK" w:cs="Times New Roman"/>
          <w:sz w:val="32"/>
          <w:szCs w:val="32"/>
          <w:lang w:val="en-US" w:eastAsia="zh-CN" w:bidi="ar-SA"/>
        </w:rPr>
        <w:t>中国共产党攀枝花市纪律检查委员会部门</w:t>
      </w:r>
      <w:r>
        <w:rPr>
          <w:rFonts w:hint="default" w:ascii="Times New Roman" w:hAnsi="Times New Roman" w:eastAsia="方正仿宋_GBK" w:cs="Times New Roman"/>
          <w:b/>
          <w:bCs/>
          <w:sz w:val="32"/>
          <w:szCs w:val="32"/>
          <w:lang w:bidi="ar-SA"/>
        </w:rPr>
        <w:t>202</w:t>
      </w:r>
      <w:r>
        <w:rPr>
          <w:rFonts w:hint="eastAsia" w:eastAsia="方正仿宋_GBK" w:cs="Times New Roman"/>
          <w:b/>
          <w:bCs/>
          <w:sz w:val="32"/>
          <w:szCs w:val="32"/>
          <w:lang w:val="en-US" w:eastAsia="zh-CN" w:bidi="ar-SA"/>
        </w:rPr>
        <w:t>5</w:t>
      </w:r>
      <w:r>
        <w:rPr>
          <w:rFonts w:hint="default" w:ascii="Times New Roman" w:hAnsi="Times New Roman" w:eastAsia="方正仿宋_GBK" w:cs="Times New Roman"/>
          <w:sz w:val="32"/>
          <w:szCs w:val="32"/>
          <w:lang w:bidi="ar-SA"/>
        </w:rPr>
        <w:t>年决算报表</w:t>
      </w:r>
      <w:r>
        <w:rPr>
          <w:rFonts w:hint="default" w:ascii="Times New Roman" w:hAnsi="Times New Roman" w:eastAsia="方正仿宋_GBK" w:cs="Times New Roman"/>
          <w:sz w:val="32"/>
          <w:szCs w:val="32"/>
          <w:lang w:val="en-US" w:eastAsia="zh-CN" w:bidi="ar-SA"/>
        </w:rPr>
        <w:t>无结转结余情况</w:t>
      </w:r>
      <w:r>
        <w:rPr>
          <w:rFonts w:hint="default" w:ascii="Times New Roman" w:hAnsi="Times New Roman" w:eastAsia="方正仿宋_GBK" w:cs="Times New Roman"/>
          <w:sz w:val="32"/>
          <w:szCs w:val="32"/>
          <w:lang w:bidi="ar-SA"/>
        </w:rPr>
        <w:t>。</w:t>
      </w:r>
    </w:p>
    <w:p w14:paraId="2786DE6F">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eastAsia="zh-CN"/>
        </w:rPr>
      </w:pPr>
      <w:r>
        <w:rPr>
          <w:rFonts w:hint="default" w:ascii="Times New Roman" w:hAnsi="Times New Roman" w:eastAsia="黑体" w:cs="Times New Roman"/>
          <w:color w:val="000000"/>
          <w:kern w:val="0"/>
          <w:sz w:val="32"/>
          <w:szCs w:val="32"/>
          <w:highlight w:val="none"/>
          <w:shd w:val="clear" w:color="auto" w:fill="FFFFFF"/>
          <w:lang w:val="zh-CN" w:eastAsia="zh-CN"/>
        </w:rPr>
        <w:t>三、部门预算绩效分析</w:t>
      </w:r>
    </w:p>
    <w:p w14:paraId="49D5DB1A">
      <w:pPr>
        <w:keepNext w:val="0"/>
        <w:keepLines w:val="0"/>
        <w:pageBreakBefore w:val="0"/>
        <w:widowControl/>
        <w:kinsoku/>
        <w:wordWrap/>
        <w:overflowPunct/>
        <w:topLinePunct w:val="0"/>
        <w:autoSpaceDE/>
        <w:autoSpaceDN/>
        <w:bidi w:val="0"/>
        <w:adjustRightInd w:val="0"/>
        <w:snapToGrid w:val="0"/>
        <w:spacing w:line="240" w:lineRule="auto"/>
        <w:ind w:firstLine="643" w:firstLineChars="200"/>
        <w:contextualSpacing/>
        <w:jc w:val="left"/>
        <w:textAlignment w:val="auto"/>
        <w:rPr>
          <w:rFonts w:hint="default" w:ascii="Times New Roman" w:hAnsi="Times New Roman" w:eastAsia="方正仿宋_GBK" w:cs="Times New Roman"/>
          <w:sz w:val="32"/>
          <w:szCs w:val="32"/>
          <w:lang w:val="zh-CN" w:eastAsia="zh-CN" w:bidi="ar-SA"/>
        </w:rPr>
      </w:pPr>
      <w:r>
        <w:rPr>
          <w:rFonts w:hint="default" w:ascii="Times New Roman" w:hAnsi="Times New Roman" w:eastAsia="方正楷体_GBK" w:cs="Times New Roman"/>
          <w:b/>
          <w:bCs/>
          <w:sz w:val="32"/>
          <w:szCs w:val="32"/>
          <w:lang w:val="zh-CN" w:eastAsia="zh-CN" w:bidi="ar-SA"/>
        </w:rPr>
        <w:t>（一）部门预算总体绩效分析</w:t>
      </w:r>
    </w:p>
    <w:p w14:paraId="303769F6">
      <w:pPr>
        <w:keepNext w:val="0"/>
        <w:keepLines w:val="0"/>
        <w:pageBreakBefore w:val="0"/>
        <w:widowControl w:val="0"/>
        <w:suppressAutoHyphens/>
        <w:kinsoku/>
        <w:wordWrap/>
        <w:overflowPunct/>
        <w:topLinePunct w:val="0"/>
        <w:autoSpaceDE/>
        <w:autoSpaceDN/>
        <w:bidi w:val="0"/>
        <w:spacing w:line="240" w:lineRule="auto"/>
        <w:ind w:firstLine="630" w:firstLineChars="196"/>
        <w:textAlignment w:val="auto"/>
        <w:rPr>
          <w:rFonts w:hint="default" w:ascii="Times New Roman" w:hAnsi="Times New Roman" w:eastAsia="方正仿宋_GBK" w:cs="Times New Roman"/>
          <w:b/>
          <w:bCs/>
          <w:color w:val="000000"/>
          <w:kern w:val="0"/>
          <w:sz w:val="32"/>
          <w:szCs w:val="32"/>
          <w:shd w:val="clear" w:color="auto" w:fill="FFFFFF"/>
          <w:lang w:val="zh-CN" w:eastAsia="zh-CN" w:bidi="ar-SA"/>
        </w:rPr>
      </w:pPr>
      <w:r>
        <w:rPr>
          <w:rFonts w:hint="default" w:ascii="Times New Roman" w:hAnsi="Times New Roman" w:eastAsia="方正仿宋_GBK" w:cs="Times New Roman"/>
          <w:b/>
          <w:bCs/>
          <w:color w:val="000000"/>
          <w:kern w:val="0"/>
          <w:sz w:val="32"/>
          <w:szCs w:val="32"/>
          <w:shd w:val="clear" w:color="auto" w:fill="FFFFFF"/>
          <w:lang w:bidi="ar-SA"/>
        </w:rPr>
        <w:t>1.</w:t>
      </w:r>
      <w:r>
        <w:rPr>
          <w:rFonts w:hint="default" w:ascii="Times New Roman" w:hAnsi="Times New Roman" w:eastAsia="方正仿宋_GBK" w:cs="Times New Roman"/>
          <w:b/>
          <w:bCs/>
          <w:color w:val="000000"/>
          <w:kern w:val="0"/>
          <w:sz w:val="32"/>
          <w:szCs w:val="32"/>
          <w:shd w:val="clear" w:color="auto" w:fill="FFFFFF"/>
          <w:lang w:val="zh-CN" w:eastAsia="zh-CN" w:bidi="ar-SA"/>
        </w:rPr>
        <w:t>履职</w:t>
      </w:r>
      <w:r>
        <w:rPr>
          <w:rFonts w:hint="default" w:ascii="Times New Roman" w:hAnsi="Times New Roman" w:eastAsia="方正仿宋_GBK" w:cs="Times New Roman"/>
          <w:b/>
          <w:bCs/>
          <w:color w:val="000000"/>
          <w:kern w:val="0"/>
          <w:sz w:val="32"/>
          <w:szCs w:val="32"/>
          <w:shd w:val="clear" w:color="auto" w:fill="FFFFFF"/>
          <w:lang w:bidi="ar-SA"/>
        </w:rPr>
        <w:t>效能</w:t>
      </w:r>
    </w:p>
    <w:p w14:paraId="74A353D5">
      <w:pPr>
        <w:keepNext w:val="0"/>
        <w:keepLines w:val="0"/>
        <w:pageBreakBefore w:val="0"/>
        <w:widowControl w:val="0"/>
        <w:suppressAutoHyphens/>
        <w:kinsoku/>
        <w:wordWrap/>
        <w:overflowPunct/>
        <w:topLinePunct w:val="0"/>
        <w:autoSpaceDE/>
        <w:autoSpaceDN/>
        <w:bidi w:val="0"/>
        <w:spacing w:line="240" w:lineRule="auto"/>
        <w:ind w:firstLine="627" w:firstLineChars="196"/>
        <w:textAlignment w:val="auto"/>
        <w:rPr>
          <w:rFonts w:hint="default" w:ascii="Times New Roman" w:hAnsi="Times New Roman" w:eastAsia="方正仿宋_GBK" w:cs="Times New Roman"/>
          <w:sz w:val="32"/>
          <w:szCs w:val="32"/>
          <w:lang w:val="zh-CN" w:eastAsia="zh-CN" w:bidi="ar-SA"/>
        </w:rPr>
      </w:pPr>
      <w:r>
        <w:rPr>
          <w:rFonts w:hint="default" w:ascii="Times New Roman" w:hAnsi="Times New Roman" w:eastAsia="方正仿宋_GBK" w:cs="Times New Roman"/>
          <w:bCs/>
          <w:color w:val="000000"/>
          <w:sz w:val="32"/>
          <w:szCs w:val="32"/>
          <w:lang w:bidi="ar-SA"/>
        </w:rPr>
        <w:t>根据年初填报的我单位整体支出绩效目标申报表选取以下</w:t>
      </w:r>
      <w:r>
        <w:rPr>
          <w:rFonts w:hint="default" w:ascii="Times New Roman" w:hAnsi="Times New Roman" w:eastAsia="方正仿宋_GBK" w:cs="Times New Roman"/>
          <w:b/>
          <w:bCs w:val="0"/>
          <w:color w:val="000000"/>
          <w:sz w:val="32"/>
          <w:szCs w:val="32"/>
          <w:lang w:bidi="ar-SA"/>
        </w:rPr>
        <w:t>3</w:t>
      </w:r>
      <w:r>
        <w:rPr>
          <w:rFonts w:hint="default" w:ascii="Times New Roman" w:hAnsi="Times New Roman" w:eastAsia="方正仿宋_GBK" w:cs="Times New Roman"/>
          <w:bCs/>
          <w:color w:val="000000"/>
          <w:sz w:val="32"/>
          <w:szCs w:val="32"/>
          <w:lang w:bidi="ar-SA"/>
        </w:rPr>
        <w:t>个职能目标进行完成效果情况绩效分析：问题线索处置率，立案案件办结率，信访举报办结率</w:t>
      </w:r>
      <w:r>
        <w:rPr>
          <w:rFonts w:hint="default" w:ascii="Times New Roman" w:hAnsi="Times New Roman" w:eastAsia="方正仿宋_GBK" w:cs="Times New Roman"/>
          <w:b/>
          <w:bCs w:val="0"/>
          <w:color w:val="000000"/>
          <w:sz w:val="32"/>
          <w:szCs w:val="32"/>
          <w:lang w:bidi="ar-SA"/>
        </w:rPr>
        <w:t>≥95%</w:t>
      </w:r>
      <w:r>
        <w:rPr>
          <w:rFonts w:hint="default" w:ascii="Times New Roman" w:hAnsi="Times New Roman" w:eastAsia="方正仿宋_GBK" w:cs="Times New Roman"/>
          <w:bCs/>
          <w:color w:val="000000"/>
          <w:sz w:val="32"/>
          <w:szCs w:val="32"/>
          <w:lang w:bidi="ar-SA"/>
        </w:rPr>
        <w:t>，达成目标要求；</w:t>
      </w:r>
      <w:r>
        <w:rPr>
          <w:rFonts w:hint="default" w:ascii="Times New Roman" w:hAnsi="Times New Roman" w:eastAsia="方正仿宋_GBK" w:cs="Times New Roman"/>
          <w:bCs/>
          <w:color w:val="000000"/>
          <w:sz w:val="32"/>
          <w:szCs w:val="32"/>
          <w:lang w:val="en-US" w:eastAsia="zh-CN" w:bidi="ar-SA"/>
        </w:rPr>
        <w:t>举办《阳光问廉》直播问政栏目，“《阳光问廉》进县（区）”录播问政节目</w:t>
      </w:r>
      <w:r>
        <w:rPr>
          <w:rFonts w:hint="eastAsia" w:eastAsia="方正仿宋_GBK" w:cs="Times New Roman"/>
          <w:bCs/>
          <w:color w:val="000000"/>
          <w:sz w:val="32"/>
          <w:szCs w:val="32"/>
          <w:lang w:val="en-US" w:eastAsia="zh-CN" w:bidi="ar-SA"/>
        </w:rPr>
        <w:t>4次，</w:t>
      </w:r>
      <w:r>
        <w:rPr>
          <w:rFonts w:hint="default" w:ascii="Times New Roman" w:hAnsi="Times New Roman" w:eastAsia="方正仿宋_GBK" w:cs="Times New Roman"/>
          <w:bCs/>
          <w:color w:val="000000"/>
          <w:sz w:val="32"/>
          <w:szCs w:val="32"/>
          <w:lang w:bidi="ar-SA"/>
        </w:rPr>
        <w:t>达成目标要求；收缴违纪违法和犯罪款物，达到目标要求。</w:t>
      </w:r>
    </w:p>
    <w:p w14:paraId="05D82028">
      <w:pPr>
        <w:keepNext w:val="0"/>
        <w:keepLines w:val="0"/>
        <w:pageBreakBefore w:val="0"/>
        <w:widowControl/>
        <w:kinsoku/>
        <w:wordWrap/>
        <w:overflowPunct/>
        <w:topLinePunct w:val="0"/>
        <w:autoSpaceDE/>
        <w:autoSpaceDN/>
        <w:bidi w:val="0"/>
        <w:adjustRightInd w:val="0"/>
        <w:snapToGrid w:val="0"/>
        <w:spacing w:line="240" w:lineRule="auto"/>
        <w:ind w:left="0" w:firstLine="643" w:firstLineChars="200"/>
        <w:contextualSpacing/>
        <w:jc w:val="left"/>
        <w:textAlignment w:val="auto"/>
        <w:rPr>
          <w:rFonts w:hint="default" w:ascii="Times New Roman" w:hAnsi="Times New Roman" w:eastAsia="方正仿宋_GBK" w:cs="Times New Roman"/>
          <w:b/>
          <w:bCs/>
          <w:sz w:val="32"/>
          <w:szCs w:val="32"/>
          <w:lang w:val="zh-CN" w:eastAsia="zh-CN" w:bidi="ar-SA"/>
        </w:rPr>
      </w:pPr>
      <w:r>
        <w:rPr>
          <w:rFonts w:hint="default" w:ascii="Times New Roman" w:hAnsi="Times New Roman" w:eastAsia="方正仿宋_GBK" w:cs="Times New Roman"/>
          <w:b/>
          <w:bCs/>
          <w:sz w:val="32"/>
          <w:szCs w:val="32"/>
          <w:lang w:val="en-US" w:eastAsia="zh-CN" w:bidi="ar-SA"/>
        </w:rPr>
        <w:t>2.</w:t>
      </w:r>
      <w:r>
        <w:rPr>
          <w:rFonts w:hint="default" w:ascii="Times New Roman" w:hAnsi="Times New Roman" w:eastAsia="方正仿宋_GBK" w:cs="Times New Roman"/>
          <w:b/>
          <w:bCs/>
          <w:sz w:val="32"/>
          <w:szCs w:val="32"/>
          <w:lang w:val="zh-CN" w:eastAsia="zh-CN" w:bidi="ar-SA"/>
        </w:rPr>
        <w:t>预算管理</w:t>
      </w:r>
    </w:p>
    <w:p w14:paraId="6E66FA47">
      <w:pPr>
        <w:keepNext w:val="0"/>
        <w:keepLines w:val="0"/>
        <w:pageBreakBefore w:val="0"/>
        <w:widowControl w:val="0"/>
        <w:suppressAutoHyphens/>
        <w:kinsoku/>
        <w:wordWrap/>
        <w:overflowPunct/>
        <w:topLinePunct w:val="0"/>
        <w:autoSpaceDE/>
        <w:autoSpaceDN/>
        <w:bidi w:val="0"/>
        <w:spacing w:line="240" w:lineRule="auto"/>
        <w:ind w:firstLine="640" w:firstLineChars="200"/>
        <w:textAlignment w:val="auto"/>
        <w:rPr>
          <w:rFonts w:hint="default" w:ascii="Times New Roman" w:hAnsi="Times New Roman" w:eastAsia="方正仿宋_GBK" w:cs="Times New Roman"/>
          <w:bCs/>
          <w:color w:val="000000"/>
          <w:sz w:val="32"/>
          <w:szCs w:val="32"/>
          <w:lang w:bidi="ar-SA"/>
        </w:rPr>
      </w:pPr>
      <w:r>
        <w:rPr>
          <w:rFonts w:hint="default" w:ascii="Times New Roman" w:hAnsi="Times New Roman" w:eastAsia="方正仿宋_GBK" w:cs="Times New Roman"/>
          <w:bCs/>
          <w:color w:val="000000"/>
          <w:sz w:val="32"/>
          <w:szCs w:val="32"/>
          <w:lang w:eastAsia="zh-CN" w:bidi="ar-SA"/>
        </w:rPr>
        <w:t>（</w:t>
      </w:r>
      <w:r>
        <w:rPr>
          <w:rFonts w:hint="default" w:ascii="Times New Roman" w:hAnsi="Times New Roman" w:eastAsia="方正仿宋_GBK" w:cs="Times New Roman"/>
          <w:bCs/>
          <w:color w:val="000000"/>
          <w:sz w:val="32"/>
          <w:szCs w:val="32"/>
          <w:lang w:val="en-US" w:eastAsia="zh-CN" w:bidi="ar-SA"/>
        </w:rPr>
        <w:t>1</w:t>
      </w:r>
      <w:r>
        <w:rPr>
          <w:rFonts w:hint="default" w:ascii="Times New Roman" w:hAnsi="Times New Roman" w:eastAsia="方正仿宋_GBK" w:cs="Times New Roman"/>
          <w:bCs/>
          <w:color w:val="000000"/>
          <w:sz w:val="32"/>
          <w:szCs w:val="32"/>
          <w:lang w:eastAsia="zh-CN" w:bidi="ar-SA"/>
        </w:rPr>
        <w:t>）</w:t>
      </w:r>
      <w:r>
        <w:rPr>
          <w:rFonts w:hint="default" w:ascii="Times New Roman" w:hAnsi="Times New Roman" w:eastAsia="方正仿宋_GBK" w:cs="Times New Roman"/>
          <w:bCs/>
          <w:color w:val="000000"/>
          <w:sz w:val="32"/>
          <w:szCs w:val="32"/>
          <w:lang w:bidi="ar-SA"/>
        </w:rPr>
        <w:t>预算编制质量：</w:t>
      </w:r>
      <w:r>
        <w:rPr>
          <w:rFonts w:hint="default" w:ascii="Times New Roman" w:hAnsi="Times New Roman" w:eastAsia="方正仿宋_GBK" w:cs="Times New Roman"/>
          <w:b/>
          <w:bCs w:val="0"/>
          <w:color w:val="000000"/>
          <w:sz w:val="32"/>
          <w:szCs w:val="32"/>
          <w:lang w:bidi="ar-SA"/>
        </w:rPr>
        <w:t>202</w:t>
      </w:r>
      <w:r>
        <w:rPr>
          <w:rFonts w:hint="eastAsia" w:eastAsia="方正仿宋_GBK" w:cs="Times New Roman"/>
          <w:b/>
          <w:bCs w:val="0"/>
          <w:color w:val="000000"/>
          <w:sz w:val="32"/>
          <w:szCs w:val="32"/>
          <w:lang w:val="en-US" w:eastAsia="zh-CN" w:bidi="ar-SA"/>
        </w:rPr>
        <w:t>5</w:t>
      </w:r>
      <w:r>
        <w:rPr>
          <w:rFonts w:hint="default" w:ascii="Times New Roman" w:hAnsi="Times New Roman" w:eastAsia="方正仿宋_GBK" w:cs="Times New Roman"/>
          <w:bCs/>
          <w:color w:val="000000"/>
          <w:sz w:val="32"/>
          <w:szCs w:val="32"/>
          <w:lang w:bidi="ar-SA"/>
        </w:rPr>
        <w:t>年财政拨款预算执行数</w:t>
      </w:r>
      <w:r>
        <w:rPr>
          <w:rFonts w:hint="eastAsia" w:eastAsia="方正仿宋_GBK" w:cs="Times New Roman"/>
          <w:b/>
          <w:bCs/>
          <w:sz w:val="32"/>
          <w:szCs w:val="32"/>
          <w:lang w:val="en-US" w:eastAsia="zh-CN" w:bidi="ar-SA"/>
        </w:rPr>
        <w:t>4752.66</w:t>
      </w:r>
      <w:r>
        <w:rPr>
          <w:rFonts w:hint="default" w:ascii="Times New Roman" w:hAnsi="Times New Roman" w:eastAsia="方正仿宋_GBK" w:cs="Times New Roman"/>
          <w:bCs/>
          <w:color w:val="000000"/>
          <w:sz w:val="32"/>
          <w:szCs w:val="32"/>
          <w:lang w:bidi="ar-SA"/>
        </w:rPr>
        <w:t>万元，财政拨款年初预算数</w:t>
      </w:r>
      <w:r>
        <w:rPr>
          <w:rFonts w:hint="eastAsia" w:eastAsia="方正仿宋_GBK" w:cs="Times New Roman"/>
          <w:b/>
          <w:bCs/>
          <w:sz w:val="32"/>
          <w:szCs w:val="32"/>
          <w:lang w:val="en-US" w:eastAsia="zh-CN" w:bidi="ar-SA"/>
        </w:rPr>
        <w:t>2985.23</w:t>
      </w:r>
      <w:r>
        <w:rPr>
          <w:rFonts w:hint="default" w:ascii="Times New Roman" w:hAnsi="Times New Roman" w:eastAsia="方正仿宋_GBK" w:cs="Times New Roman"/>
          <w:bCs/>
          <w:color w:val="000000"/>
          <w:sz w:val="32"/>
          <w:szCs w:val="32"/>
          <w:lang w:bidi="ar-SA"/>
        </w:rPr>
        <w:t>万元。</w:t>
      </w:r>
    </w:p>
    <w:p w14:paraId="554210C5">
      <w:pPr>
        <w:keepNext w:val="0"/>
        <w:keepLines w:val="0"/>
        <w:pageBreakBefore w:val="0"/>
        <w:widowControl w:val="0"/>
        <w:suppressAutoHyphens/>
        <w:kinsoku/>
        <w:wordWrap/>
        <w:overflowPunct/>
        <w:topLinePunct w:val="0"/>
        <w:autoSpaceDE/>
        <w:autoSpaceDN/>
        <w:bidi w:val="0"/>
        <w:spacing w:line="240" w:lineRule="auto"/>
        <w:ind w:firstLine="640" w:firstLineChars="200"/>
        <w:textAlignment w:val="auto"/>
        <w:rPr>
          <w:rFonts w:hint="default" w:ascii="Times New Roman" w:hAnsi="Times New Roman" w:eastAsia="方正仿宋_GBK" w:cs="Times New Roman"/>
          <w:bCs/>
          <w:color w:val="000000"/>
          <w:sz w:val="32"/>
          <w:szCs w:val="32"/>
          <w:lang w:bidi="ar-SA"/>
        </w:rPr>
      </w:pPr>
      <w:r>
        <w:rPr>
          <w:rFonts w:hint="default" w:ascii="Times New Roman" w:hAnsi="Times New Roman" w:eastAsia="方正仿宋_GBK" w:cs="Times New Roman"/>
          <w:bCs/>
          <w:color w:val="000000"/>
          <w:sz w:val="32"/>
          <w:szCs w:val="32"/>
          <w:lang w:eastAsia="zh-CN" w:bidi="ar-SA"/>
        </w:rPr>
        <w:t>（</w:t>
      </w:r>
      <w:r>
        <w:rPr>
          <w:rFonts w:hint="default" w:ascii="Times New Roman" w:hAnsi="Times New Roman" w:eastAsia="方正仿宋_GBK" w:cs="Times New Roman"/>
          <w:bCs/>
          <w:color w:val="000000"/>
          <w:sz w:val="32"/>
          <w:szCs w:val="32"/>
          <w:lang w:val="en-US" w:eastAsia="zh-CN" w:bidi="ar-SA"/>
        </w:rPr>
        <w:t>2</w:t>
      </w:r>
      <w:r>
        <w:rPr>
          <w:rFonts w:hint="default" w:ascii="Times New Roman" w:hAnsi="Times New Roman" w:eastAsia="方正仿宋_GBK" w:cs="Times New Roman"/>
          <w:bCs/>
          <w:color w:val="000000"/>
          <w:sz w:val="32"/>
          <w:szCs w:val="32"/>
          <w:lang w:eastAsia="zh-CN" w:bidi="ar-SA"/>
        </w:rPr>
        <w:t>）</w:t>
      </w:r>
      <w:r>
        <w:rPr>
          <w:rFonts w:hint="default" w:ascii="Times New Roman" w:hAnsi="Times New Roman" w:eastAsia="方正仿宋_GBK" w:cs="Times New Roman"/>
          <w:bCs/>
          <w:color w:val="000000"/>
          <w:sz w:val="32"/>
          <w:szCs w:val="32"/>
          <w:lang w:bidi="ar-SA"/>
        </w:rPr>
        <w:t xml:space="preserve">单位收入统筹：部门未产生自有收入。 </w:t>
      </w:r>
    </w:p>
    <w:p w14:paraId="3F3D4F1C">
      <w:pPr>
        <w:keepNext w:val="0"/>
        <w:keepLines w:val="0"/>
        <w:pageBreakBefore w:val="0"/>
        <w:widowControl w:val="0"/>
        <w:suppressAutoHyphens/>
        <w:kinsoku/>
        <w:wordWrap/>
        <w:overflowPunct/>
        <w:topLinePunct w:val="0"/>
        <w:autoSpaceDE/>
        <w:autoSpaceDN/>
        <w:bidi w:val="0"/>
        <w:spacing w:line="240" w:lineRule="auto"/>
        <w:ind w:firstLine="640" w:firstLineChars="200"/>
        <w:textAlignment w:val="auto"/>
        <w:rPr>
          <w:rFonts w:hint="default" w:ascii="Times New Roman" w:hAnsi="Times New Roman" w:eastAsia="方正仿宋_GBK" w:cs="Times New Roman"/>
          <w:bCs/>
          <w:color w:val="000000"/>
          <w:sz w:val="32"/>
          <w:szCs w:val="32"/>
          <w:lang w:bidi="ar-SA"/>
        </w:rPr>
      </w:pPr>
      <w:r>
        <w:rPr>
          <w:rFonts w:hint="default" w:ascii="Times New Roman" w:hAnsi="Times New Roman" w:eastAsia="方正仿宋_GBK" w:cs="Times New Roman"/>
          <w:bCs/>
          <w:color w:val="000000"/>
          <w:sz w:val="32"/>
          <w:szCs w:val="32"/>
          <w:lang w:eastAsia="zh-CN" w:bidi="ar-SA"/>
        </w:rPr>
        <w:t>（</w:t>
      </w:r>
      <w:r>
        <w:rPr>
          <w:rFonts w:hint="default" w:ascii="Times New Roman" w:hAnsi="Times New Roman" w:eastAsia="方正仿宋_GBK" w:cs="Times New Roman"/>
          <w:bCs/>
          <w:color w:val="000000"/>
          <w:sz w:val="32"/>
          <w:szCs w:val="32"/>
          <w:lang w:val="en-US" w:eastAsia="zh-CN" w:bidi="ar-SA"/>
        </w:rPr>
        <w:t>3</w:t>
      </w:r>
      <w:r>
        <w:rPr>
          <w:rFonts w:hint="default" w:ascii="Times New Roman" w:hAnsi="Times New Roman" w:eastAsia="方正仿宋_GBK" w:cs="Times New Roman"/>
          <w:bCs/>
          <w:color w:val="000000"/>
          <w:sz w:val="32"/>
          <w:szCs w:val="32"/>
          <w:lang w:eastAsia="zh-CN" w:bidi="ar-SA"/>
        </w:rPr>
        <w:t>）</w:t>
      </w:r>
      <w:r>
        <w:rPr>
          <w:rFonts w:hint="default" w:ascii="Times New Roman" w:hAnsi="Times New Roman" w:eastAsia="方正仿宋_GBK" w:cs="Times New Roman"/>
          <w:bCs/>
          <w:color w:val="000000"/>
          <w:sz w:val="32"/>
          <w:szCs w:val="32"/>
          <w:lang w:bidi="ar-SA"/>
        </w:rPr>
        <w:t>支出执行进度：</w:t>
      </w:r>
      <w:r>
        <w:rPr>
          <w:rFonts w:hint="default" w:ascii="Times New Roman" w:hAnsi="Times New Roman" w:eastAsia="方正仿宋_GBK" w:cs="Times New Roman"/>
          <w:bCs/>
          <w:color w:val="000000"/>
          <w:sz w:val="32"/>
          <w:szCs w:val="32"/>
          <w:lang w:val="en-US" w:eastAsia="zh-CN" w:bidi="ar-SA"/>
        </w:rPr>
        <w:t>已完成全年支付</w:t>
      </w:r>
      <w:r>
        <w:rPr>
          <w:rFonts w:hint="default" w:ascii="Times New Roman" w:hAnsi="Times New Roman" w:eastAsia="方正仿宋_GBK" w:cs="Times New Roman"/>
          <w:bCs/>
          <w:color w:val="000000"/>
          <w:sz w:val="32"/>
          <w:szCs w:val="32"/>
          <w:lang w:bidi="ar-SA"/>
        </w:rPr>
        <w:t>。</w:t>
      </w:r>
    </w:p>
    <w:p w14:paraId="41023BD1">
      <w:pPr>
        <w:keepNext w:val="0"/>
        <w:keepLines w:val="0"/>
        <w:pageBreakBefore w:val="0"/>
        <w:widowControl w:val="0"/>
        <w:suppressAutoHyphens/>
        <w:kinsoku/>
        <w:wordWrap/>
        <w:overflowPunct/>
        <w:topLinePunct w:val="0"/>
        <w:autoSpaceDE/>
        <w:autoSpaceDN/>
        <w:bidi w:val="0"/>
        <w:spacing w:line="240" w:lineRule="auto"/>
        <w:ind w:firstLine="640" w:firstLineChars="200"/>
        <w:textAlignment w:val="auto"/>
        <w:rPr>
          <w:rFonts w:hint="default" w:ascii="Times New Roman" w:hAnsi="Times New Roman" w:eastAsia="方正仿宋_GBK" w:cs="Times New Roman"/>
          <w:bCs/>
          <w:color w:val="000000"/>
          <w:sz w:val="32"/>
          <w:szCs w:val="32"/>
          <w:lang w:bidi="ar-SA"/>
        </w:rPr>
      </w:pPr>
      <w:r>
        <w:rPr>
          <w:rFonts w:hint="default" w:ascii="Times New Roman" w:hAnsi="Times New Roman" w:eastAsia="方正仿宋_GBK" w:cs="Times New Roman"/>
          <w:bCs/>
          <w:color w:val="000000"/>
          <w:sz w:val="32"/>
          <w:szCs w:val="32"/>
          <w:lang w:eastAsia="zh-CN" w:bidi="ar-SA"/>
        </w:rPr>
        <w:t>（</w:t>
      </w:r>
      <w:r>
        <w:rPr>
          <w:rFonts w:hint="default" w:ascii="Times New Roman" w:hAnsi="Times New Roman" w:eastAsia="方正仿宋_GBK" w:cs="Times New Roman"/>
          <w:bCs/>
          <w:color w:val="000000"/>
          <w:sz w:val="32"/>
          <w:szCs w:val="32"/>
          <w:lang w:val="en-US" w:eastAsia="zh-CN" w:bidi="ar-SA"/>
        </w:rPr>
        <w:t>4</w:t>
      </w:r>
      <w:r>
        <w:rPr>
          <w:rFonts w:hint="default" w:ascii="Times New Roman" w:hAnsi="Times New Roman" w:eastAsia="方正仿宋_GBK" w:cs="Times New Roman"/>
          <w:bCs/>
          <w:color w:val="000000"/>
          <w:sz w:val="32"/>
          <w:szCs w:val="32"/>
          <w:lang w:eastAsia="zh-CN" w:bidi="ar-SA"/>
        </w:rPr>
        <w:t>）</w:t>
      </w:r>
      <w:r>
        <w:rPr>
          <w:rFonts w:hint="default" w:ascii="Times New Roman" w:hAnsi="Times New Roman" w:eastAsia="方正仿宋_GBK" w:cs="Times New Roman"/>
          <w:bCs/>
          <w:color w:val="000000"/>
          <w:sz w:val="32"/>
          <w:szCs w:val="32"/>
          <w:lang w:bidi="ar-SA"/>
        </w:rPr>
        <w:t>预算年终结余：无年终结转结余。</w:t>
      </w:r>
    </w:p>
    <w:p w14:paraId="7CA9D03E">
      <w:pPr>
        <w:keepNext w:val="0"/>
        <w:keepLines w:val="0"/>
        <w:pageBreakBefore w:val="0"/>
        <w:widowControl w:val="0"/>
        <w:suppressAutoHyphens/>
        <w:kinsoku/>
        <w:wordWrap/>
        <w:overflowPunct/>
        <w:topLinePunct w:val="0"/>
        <w:autoSpaceDE/>
        <w:autoSpaceDN/>
        <w:bidi w:val="0"/>
        <w:spacing w:line="240" w:lineRule="auto"/>
        <w:ind w:firstLine="640" w:firstLineChars="200"/>
        <w:textAlignment w:val="auto"/>
        <w:rPr>
          <w:rFonts w:hint="default" w:ascii="Times New Roman" w:hAnsi="Times New Roman" w:cs="Times New Roman"/>
          <w:sz w:val="32"/>
          <w:szCs w:val="32"/>
          <w:lang w:val="zh-CN" w:eastAsia="zh-CN" w:bidi="ar-SA"/>
        </w:rPr>
      </w:pPr>
      <w:r>
        <w:rPr>
          <w:rFonts w:hint="default" w:ascii="Times New Roman" w:hAnsi="Times New Roman" w:eastAsia="方正仿宋_GBK" w:cs="Times New Roman"/>
          <w:bCs/>
          <w:color w:val="000000"/>
          <w:sz w:val="32"/>
          <w:szCs w:val="32"/>
          <w:lang w:eastAsia="zh-CN" w:bidi="ar-SA"/>
        </w:rPr>
        <w:t>（</w:t>
      </w:r>
      <w:r>
        <w:rPr>
          <w:rFonts w:hint="default" w:ascii="Times New Roman" w:hAnsi="Times New Roman" w:eastAsia="方正仿宋_GBK" w:cs="Times New Roman"/>
          <w:bCs/>
          <w:color w:val="000000"/>
          <w:sz w:val="32"/>
          <w:szCs w:val="32"/>
          <w:lang w:val="en-US" w:eastAsia="zh-CN" w:bidi="ar-SA"/>
        </w:rPr>
        <w:t>5</w:t>
      </w:r>
      <w:r>
        <w:rPr>
          <w:rFonts w:hint="default" w:ascii="Times New Roman" w:hAnsi="Times New Roman" w:eastAsia="方正仿宋_GBK" w:cs="Times New Roman"/>
          <w:bCs/>
          <w:color w:val="000000"/>
          <w:sz w:val="32"/>
          <w:szCs w:val="32"/>
          <w:lang w:eastAsia="zh-CN" w:bidi="ar-SA"/>
        </w:rPr>
        <w:t>）</w:t>
      </w:r>
      <w:r>
        <w:rPr>
          <w:rFonts w:hint="default" w:ascii="Times New Roman" w:hAnsi="Times New Roman" w:eastAsia="方正仿宋_GBK" w:cs="Times New Roman"/>
          <w:bCs/>
          <w:color w:val="000000"/>
          <w:sz w:val="32"/>
          <w:szCs w:val="32"/>
          <w:lang w:bidi="ar-SA"/>
        </w:rPr>
        <w:t>严控一般性支出：</w:t>
      </w:r>
      <w:r>
        <w:rPr>
          <w:rFonts w:hint="default" w:ascii="Times New Roman" w:hAnsi="Times New Roman" w:eastAsia="方正仿宋_GBK" w:cs="Times New Roman"/>
          <w:b/>
          <w:bCs w:val="0"/>
          <w:color w:val="000000"/>
          <w:sz w:val="32"/>
          <w:szCs w:val="32"/>
          <w:lang w:bidi="ar-SA"/>
        </w:rPr>
        <w:t>202</w:t>
      </w:r>
      <w:r>
        <w:rPr>
          <w:rFonts w:hint="eastAsia" w:eastAsia="方正仿宋_GBK" w:cs="Times New Roman"/>
          <w:b/>
          <w:bCs w:val="0"/>
          <w:color w:val="000000"/>
          <w:sz w:val="32"/>
          <w:szCs w:val="32"/>
          <w:lang w:val="en-US" w:eastAsia="zh-CN" w:bidi="ar-SA"/>
        </w:rPr>
        <w:t>5</w:t>
      </w:r>
      <w:r>
        <w:rPr>
          <w:rFonts w:hint="default" w:ascii="Times New Roman" w:hAnsi="Times New Roman" w:eastAsia="方正仿宋_GBK" w:cs="Times New Roman"/>
          <w:bCs/>
          <w:color w:val="000000"/>
          <w:sz w:val="32"/>
          <w:szCs w:val="32"/>
          <w:lang w:bidi="ar-SA"/>
        </w:rPr>
        <w:t>年年初预算安排“三公”经费、会议费、培训费、差旅费、办公设备购置经费、等一般性支出</w:t>
      </w:r>
      <w:r>
        <w:rPr>
          <w:rFonts w:hint="eastAsia" w:eastAsia="方正仿宋_GBK" w:cs="Times New Roman"/>
          <w:b/>
          <w:bCs w:val="0"/>
          <w:color w:val="000000"/>
          <w:sz w:val="32"/>
          <w:szCs w:val="32"/>
          <w:lang w:val="en-US" w:eastAsia="zh-CN" w:bidi="ar-SA"/>
        </w:rPr>
        <w:t>336.7</w:t>
      </w:r>
      <w:r>
        <w:rPr>
          <w:rFonts w:hint="default" w:ascii="Times New Roman" w:hAnsi="Times New Roman" w:eastAsia="方正仿宋_GBK" w:cs="Times New Roman"/>
          <w:bCs/>
          <w:color w:val="000000"/>
          <w:sz w:val="32"/>
          <w:szCs w:val="32"/>
          <w:lang w:bidi="ar-SA"/>
        </w:rPr>
        <w:t>万元，较</w:t>
      </w:r>
      <w:r>
        <w:rPr>
          <w:rFonts w:hint="default" w:ascii="Times New Roman" w:hAnsi="Times New Roman" w:eastAsia="方正仿宋_GBK" w:cs="Times New Roman"/>
          <w:b/>
          <w:bCs w:val="0"/>
          <w:color w:val="000000"/>
          <w:sz w:val="32"/>
          <w:szCs w:val="32"/>
          <w:lang w:bidi="ar-SA"/>
        </w:rPr>
        <w:t>202</w:t>
      </w:r>
      <w:r>
        <w:rPr>
          <w:rFonts w:hint="eastAsia" w:eastAsia="方正仿宋_GBK" w:cs="Times New Roman"/>
          <w:b/>
          <w:bCs w:val="0"/>
          <w:color w:val="000000"/>
          <w:sz w:val="32"/>
          <w:szCs w:val="32"/>
          <w:lang w:val="en-US" w:eastAsia="zh-CN" w:bidi="ar-SA"/>
        </w:rPr>
        <w:t>4</w:t>
      </w:r>
      <w:r>
        <w:rPr>
          <w:rFonts w:hint="default" w:ascii="Times New Roman" w:hAnsi="Times New Roman" w:eastAsia="方正仿宋_GBK" w:cs="Times New Roman"/>
          <w:bCs/>
          <w:color w:val="000000"/>
          <w:sz w:val="32"/>
          <w:szCs w:val="32"/>
          <w:lang w:bidi="ar-SA"/>
        </w:rPr>
        <w:t>年年初预算安排</w:t>
      </w:r>
      <w:r>
        <w:rPr>
          <w:rFonts w:hint="eastAsia" w:eastAsia="方正仿宋_GBK" w:cs="Times New Roman"/>
          <w:b/>
          <w:bCs w:val="0"/>
          <w:color w:val="000000"/>
          <w:sz w:val="32"/>
          <w:szCs w:val="32"/>
          <w:lang w:val="en-US" w:eastAsia="zh-CN" w:bidi="ar-SA"/>
        </w:rPr>
        <w:t>344.14</w:t>
      </w:r>
      <w:r>
        <w:rPr>
          <w:rFonts w:hint="default" w:ascii="Times New Roman" w:hAnsi="Times New Roman" w:eastAsia="方正仿宋_GBK" w:cs="Times New Roman"/>
          <w:bCs/>
          <w:color w:val="000000"/>
          <w:sz w:val="32"/>
          <w:szCs w:val="32"/>
          <w:lang w:bidi="ar-SA"/>
        </w:rPr>
        <w:t>万元减少</w:t>
      </w:r>
      <w:r>
        <w:rPr>
          <w:rFonts w:hint="eastAsia" w:eastAsia="方正仿宋_GBK" w:cs="Times New Roman"/>
          <w:b/>
          <w:bCs w:val="0"/>
          <w:color w:val="000000"/>
          <w:sz w:val="32"/>
          <w:szCs w:val="32"/>
          <w:lang w:val="en-US" w:eastAsia="zh-CN" w:bidi="ar-SA"/>
        </w:rPr>
        <w:t>7.44</w:t>
      </w:r>
      <w:r>
        <w:rPr>
          <w:rFonts w:hint="default" w:ascii="Times New Roman" w:hAnsi="Times New Roman" w:eastAsia="方正仿宋_GBK" w:cs="Times New Roman"/>
          <w:bCs/>
          <w:color w:val="000000"/>
          <w:sz w:val="32"/>
          <w:szCs w:val="32"/>
          <w:lang w:bidi="ar-SA"/>
        </w:rPr>
        <w:t>万元，下降</w:t>
      </w:r>
      <w:r>
        <w:rPr>
          <w:rFonts w:hint="eastAsia" w:eastAsia="方正仿宋_GBK" w:cs="Times New Roman"/>
          <w:b/>
          <w:bCs w:val="0"/>
          <w:color w:val="000000"/>
          <w:sz w:val="32"/>
          <w:szCs w:val="32"/>
          <w:lang w:val="en-US" w:eastAsia="zh-CN" w:bidi="ar-SA"/>
        </w:rPr>
        <w:t>2.16</w:t>
      </w:r>
      <w:r>
        <w:rPr>
          <w:rFonts w:hint="default" w:ascii="Times New Roman" w:hAnsi="Times New Roman" w:eastAsia="方正仿宋_GBK" w:cs="Times New Roman"/>
          <w:b/>
          <w:bCs w:val="0"/>
          <w:color w:val="000000"/>
          <w:sz w:val="32"/>
          <w:szCs w:val="32"/>
          <w:lang w:bidi="ar-SA"/>
        </w:rPr>
        <w:t>%</w:t>
      </w:r>
      <w:r>
        <w:rPr>
          <w:rFonts w:hint="default" w:ascii="Times New Roman" w:hAnsi="Times New Roman" w:eastAsia="方正仿宋_GBK" w:cs="Times New Roman"/>
          <w:bCs/>
          <w:color w:val="000000"/>
          <w:sz w:val="32"/>
          <w:szCs w:val="32"/>
          <w:lang w:bidi="ar-SA"/>
        </w:rPr>
        <w:t>。</w:t>
      </w:r>
    </w:p>
    <w:p w14:paraId="4E91C8B1">
      <w:pPr>
        <w:keepNext w:val="0"/>
        <w:keepLines w:val="0"/>
        <w:pageBreakBefore w:val="0"/>
        <w:widowControl/>
        <w:kinsoku/>
        <w:wordWrap/>
        <w:overflowPunct/>
        <w:topLinePunct w:val="0"/>
        <w:autoSpaceDE/>
        <w:autoSpaceDN/>
        <w:bidi w:val="0"/>
        <w:adjustRightInd w:val="0"/>
        <w:snapToGrid w:val="0"/>
        <w:spacing w:line="240" w:lineRule="auto"/>
        <w:ind w:left="0" w:firstLine="643" w:firstLineChars="200"/>
        <w:contextualSpacing/>
        <w:jc w:val="both"/>
        <w:textAlignment w:val="auto"/>
        <w:rPr>
          <w:rFonts w:hint="default" w:ascii="Times New Roman" w:hAnsi="Times New Roman" w:eastAsia="方正仿宋_GBK" w:cs="Times New Roman"/>
          <w:b/>
          <w:bCs/>
          <w:sz w:val="32"/>
          <w:szCs w:val="32"/>
          <w:lang w:val="zh-CN" w:eastAsia="zh-CN" w:bidi="ar-SA"/>
        </w:rPr>
      </w:pPr>
      <w:r>
        <w:rPr>
          <w:rFonts w:hint="default" w:ascii="Times New Roman" w:hAnsi="Times New Roman" w:eastAsia="方正仿宋_GBK" w:cs="Times New Roman"/>
          <w:b/>
          <w:bCs/>
          <w:sz w:val="32"/>
          <w:szCs w:val="32"/>
          <w:lang w:bidi="ar-SA"/>
        </w:rPr>
        <w:t>3.</w:t>
      </w:r>
      <w:r>
        <w:rPr>
          <w:rFonts w:hint="default" w:ascii="Times New Roman" w:hAnsi="Times New Roman" w:eastAsia="方正仿宋_GBK" w:cs="Times New Roman"/>
          <w:b/>
          <w:bCs/>
          <w:sz w:val="32"/>
          <w:szCs w:val="32"/>
          <w:lang w:val="zh-CN" w:eastAsia="zh-CN" w:bidi="ar-SA"/>
        </w:rPr>
        <w:t>财务管理</w:t>
      </w:r>
    </w:p>
    <w:p w14:paraId="48BB36AB">
      <w:pPr>
        <w:keepNext w:val="0"/>
        <w:keepLines w:val="0"/>
        <w:pageBreakBefore w:val="0"/>
        <w:widowControl w:val="0"/>
        <w:suppressAutoHyphens/>
        <w:kinsoku/>
        <w:wordWrap/>
        <w:overflowPunct/>
        <w:topLinePunct w:val="0"/>
        <w:autoSpaceDE/>
        <w:autoSpaceDN/>
        <w:bidi w:val="0"/>
        <w:spacing w:line="240" w:lineRule="auto"/>
        <w:ind w:firstLine="640" w:firstLineChars="200"/>
        <w:textAlignment w:val="auto"/>
        <w:rPr>
          <w:rFonts w:hint="default" w:ascii="Times New Roman" w:hAnsi="Times New Roman" w:eastAsia="方正仿宋_GBK" w:cs="Times New Roman"/>
          <w:bCs/>
          <w:color w:val="000000"/>
          <w:sz w:val="32"/>
          <w:szCs w:val="32"/>
          <w:lang w:val="zh-CN" w:eastAsia="zh-CN" w:bidi="ar-SA"/>
        </w:rPr>
      </w:pPr>
      <w:r>
        <w:rPr>
          <w:rFonts w:hint="default" w:ascii="Times New Roman" w:hAnsi="Times New Roman" w:eastAsia="方正仿宋_GBK" w:cs="Times New Roman"/>
          <w:bCs/>
          <w:color w:val="000000"/>
          <w:sz w:val="32"/>
          <w:szCs w:val="32"/>
          <w:lang w:bidi="ar-SA"/>
        </w:rPr>
        <w:t>根据内部监督控制制度，会计出纳岗位设置合理，职责权限明确，并严格实行不相容岗位分离，部门资金使用符合相关财务管理制度规定。</w:t>
      </w:r>
    </w:p>
    <w:p w14:paraId="32CC83E3">
      <w:pPr>
        <w:keepNext w:val="0"/>
        <w:keepLines w:val="0"/>
        <w:pageBreakBefore w:val="0"/>
        <w:widowControl/>
        <w:kinsoku/>
        <w:wordWrap/>
        <w:overflowPunct/>
        <w:topLinePunct w:val="0"/>
        <w:autoSpaceDE/>
        <w:autoSpaceDN/>
        <w:bidi w:val="0"/>
        <w:adjustRightInd w:val="0"/>
        <w:snapToGrid w:val="0"/>
        <w:spacing w:line="240" w:lineRule="auto"/>
        <w:ind w:firstLine="643" w:firstLineChars="200"/>
        <w:contextualSpacing/>
        <w:jc w:val="both"/>
        <w:textAlignment w:val="auto"/>
        <w:rPr>
          <w:rFonts w:hint="default" w:ascii="Times New Roman" w:hAnsi="Times New Roman" w:eastAsia="方正仿宋_GBK" w:cs="Times New Roman"/>
          <w:b/>
          <w:bCs/>
          <w:sz w:val="32"/>
          <w:szCs w:val="32"/>
          <w:lang w:val="zh-CN" w:eastAsia="zh-CN" w:bidi="ar-SA"/>
        </w:rPr>
      </w:pPr>
      <w:r>
        <w:rPr>
          <w:rFonts w:hint="default" w:ascii="Times New Roman" w:hAnsi="Times New Roman" w:eastAsia="方正仿宋_GBK" w:cs="Times New Roman"/>
          <w:b/>
          <w:bCs/>
          <w:sz w:val="32"/>
          <w:szCs w:val="32"/>
          <w:lang w:bidi="ar-SA"/>
        </w:rPr>
        <w:t>4.</w:t>
      </w:r>
      <w:r>
        <w:rPr>
          <w:rFonts w:hint="default" w:ascii="Times New Roman" w:hAnsi="Times New Roman" w:eastAsia="方正仿宋_GBK" w:cs="Times New Roman"/>
          <w:b/>
          <w:bCs/>
          <w:sz w:val="32"/>
          <w:szCs w:val="32"/>
          <w:lang w:val="zh-CN" w:eastAsia="zh-CN" w:bidi="ar-SA"/>
        </w:rPr>
        <w:t>资产管理</w:t>
      </w:r>
    </w:p>
    <w:p w14:paraId="48E463A6">
      <w:pPr>
        <w:keepNext w:val="0"/>
        <w:keepLines w:val="0"/>
        <w:pageBreakBefore w:val="0"/>
        <w:widowControl w:val="0"/>
        <w:suppressAutoHyphens/>
        <w:kinsoku/>
        <w:wordWrap/>
        <w:overflowPunct/>
        <w:topLinePunct w:val="0"/>
        <w:autoSpaceDE/>
        <w:autoSpaceDN/>
        <w:bidi w:val="0"/>
        <w:spacing w:line="240" w:lineRule="auto"/>
        <w:ind w:firstLine="643" w:firstLineChars="200"/>
        <w:textAlignment w:val="auto"/>
        <w:rPr>
          <w:rFonts w:hint="default" w:ascii="Times New Roman" w:hAnsi="Times New Roman" w:eastAsia="方正仿宋_GBK" w:cs="Times New Roman"/>
          <w:bCs/>
          <w:color w:val="000000"/>
          <w:sz w:val="32"/>
          <w:szCs w:val="32"/>
          <w:lang w:val="zh-CN" w:eastAsia="zh-CN" w:bidi="ar-SA"/>
        </w:rPr>
      </w:pPr>
      <w:r>
        <w:rPr>
          <w:rFonts w:hint="default" w:ascii="Times New Roman" w:hAnsi="Times New Roman" w:eastAsia="方正仿宋_GBK" w:cs="Times New Roman"/>
          <w:b/>
          <w:bCs w:val="0"/>
          <w:color w:val="000000"/>
          <w:sz w:val="32"/>
          <w:szCs w:val="32"/>
          <w:lang w:val="en-US" w:eastAsia="zh-CN" w:bidi="ar-SA"/>
        </w:rPr>
        <w:t>202</w:t>
      </w:r>
      <w:r>
        <w:rPr>
          <w:rFonts w:hint="eastAsia" w:eastAsia="方正仿宋_GBK" w:cs="Times New Roman"/>
          <w:b/>
          <w:bCs w:val="0"/>
          <w:color w:val="000000"/>
          <w:sz w:val="32"/>
          <w:szCs w:val="32"/>
          <w:lang w:val="en-US" w:eastAsia="zh-CN" w:bidi="ar-SA"/>
        </w:rPr>
        <w:t>5</w:t>
      </w:r>
      <w:r>
        <w:rPr>
          <w:rFonts w:hint="default" w:ascii="Times New Roman" w:hAnsi="Times New Roman" w:eastAsia="方正仿宋_GBK" w:cs="Times New Roman"/>
          <w:bCs/>
          <w:color w:val="000000"/>
          <w:sz w:val="32"/>
          <w:szCs w:val="32"/>
          <w:lang w:val="en-US" w:eastAsia="zh-CN" w:bidi="ar-SA"/>
        </w:rPr>
        <w:t>年人均资产提高，资产变化率提升，基本办公资产利用率提高，将旧办公桌、旧电脑等资产进行整修盘活，重新使用。</w:t>
      </w:r>
      <w:r>
        <w:rPr>
          <w:rFonts w:hint="default" w:ascii="Times New Roman" w:hAnsi="Times New Roman" w:eastAsia="方正仿宋_GBK" w:cs="Times New Roman"/>
          <w:bCs/>
          <w:color w:val="000000"/>
          <w:sz w:val="32"/>
          <w:szCs w:val="32"/>
          <w:lang w:bidi="ar-SA"/>
        </w:rPr>
        <w:t>部门严格按照资产管理要求，定期清理盘点固定资产，制作资产领取台账、严把资产关口，确保资产有迹可查、有迹可循。</w:t>
      </w:r>
    </w:p>
    <w:p w14:paraId="6A1661AD">
      <w:pPr>
        <w:keepNext w:val="0"/>
        <w:keepLines w:val="0"/>
        <w:pageBreakBefore w:val="0"/>
        <w:widowControl w:val="0"/>
        <w:suppressAutoHyphens/>
        <w:kinsoku/>
        <w:wordWrap/>
        <w:overflowPunct/>
        <w:topLinePunct w:val="0"/>
        <w:autoSpaceDE/>
        <w:autoSpaceDN/>
        <w:bidi w:val="0"/>
        <w:spacing w:line="240" w:lineRule="auto"/>
        <w:ind w:firstLine="643" w:firstLineChars="200"/>
        <w:jc w:val="both"/>
        <w:textAlignment w:val="auto"/>
        <w:rPr>
          <w:rFonts w:hint="default" w:ascii="Times New Roman" w:hAnsi="Times New Roman" w:eastAsia="方正仿宋_GBK" w:cs="Times New Roman"/>
          <w:b/>
          <w:bCs/>
          <w:sz w:val="32"/>
          <w:szCs w:val="32"/>
          <w:lang w:val="zh-CN" w:eastAsia="zh-CN" w:bidi="ar-SA"/>
        </w:rPr>
      </w:pPr>
      <w:r>
        <w:rPr>
          <w:rFonts w:hint="default" w:ascii="Times New Roman" w:hAnsi="Times New Roman" w:eastAsia="方正仿宋_GBK" w:cs="Times New Roman"/>
          <w:b/>
          <w:bCs/>
          <w:sz w:val="32"/>
          <w:szCs w:val="32"/>
          <w:lang w:val="zh-CN" w:eastAsia="zh-CN" w:bidi="ar-SA"/>
        </w:rPr>
        <w:t>5.采购管理</w:t>
      </w:r>
    </w:p>
    <w:p w14:paraId="1B13947B">
      <w:pPr>
        <w:keepNext w:val="0"/>
        <w:keepLines w:val="0"/>
        <w:pageBreakBefore w:val="0"/>
        <w:widowControl w:val="0"/>
        <w:suppressAutoHyphens/>
        <w:kinsoku/>
        <w:wordWrap/>
        <w:overflowPunct/>
        <w:topLinePunct w:val="0"/>
        <w:autoSpaceDE/>
        <w:autoSpaceDN/>
        <w:bidi w:val="0"/>
        <w:spacing w:line="240" w:lineRule="auto"/>
        <w:ind w:firstLine="640" w:firstLineChars="200"/>
        <w:textAlignment w:val="auto"/>
        <w:rPr>
          <w:rFonts w:hint="default" w:ascii="Times New Roman" w:hAnsi="Times New Roman" w:eastAsia="方正仿宋_GBK" w:cs="Times New Roman"/>
          <w:bCs/>
          <w:color w:val="000000"/>
          <w:sz w:val="32"/>
          <w:szCs w:val="32"/>
          <w:lang w:val="en-US" w:eastAsia="zh-CN" w:bidi="ar-SA"/>
        </w:rPr>
      </w:pPr>
      <w:r>
        <w:rPr>
          <w:rFonts w:hint="default" w:ascii="Times New Roman" w:hAnsi="Times New Roman" w:eastAsia="方正仿宋_GBK" w:cs="Times New Roman"/>
          <w:bCs/>
          <w:color w:val="000000"/>
          <w:sz w:val="32"/>
          <w:szCs w:val="32"/>
          <w:lang w:val="zh-CN" w:eastAsia="zh-CN" w:bidi="ar-SA"/>
        </w:rPr>
        <w:t>围绕支持中小企业发展、采购执行率进行绩效分析。</w:t>
      </w:r>
      <w:r>
        <w:rPr>
          <w:rFonts w:hint="default" w:ascii="Times New Roman" w:hAnsi="Times New Roman" w:eastAsia="方正仿宋_GBK" w:cs="Times New Roman"/>
          <w:bCs/>
          <w:color w:val="000000"/>
          <w:sz w:val="32"/>
          <w:szCs w:val="32"/>
          <w:lang w:bidi="ar-SA"/>
        </w:rPr>
        <w:t>部门严格按照政府采购管理要求，</w:t>
      </w:r>
      <w:r>
        <w:rPr>
          <w:rFonts w:hint="default" w:ascii="Times New Roman" w:hAnsi="Times New Roman" w:eastAsia="方正仿宋_GBK" w:cs="Times New Roman"/>
          <w:b/>
          <w:bCs w:val="0"/>
          <w:color w:val="000000"/>
          <w:sz w:val="32"/>
          <w:szCs w:val="32"/>
          <w:lang w:bidi="ar-SA"/>
        </w:rPr>
        <w:t>202</w:t>
      </w:r>
      <w:r>
        <w:rPr>
          <w:rFonts w:hint="eastAsia" w:eastAsia="方正仿宋_GBK" w:cs="Times New Roman"/>
          <w:b/>
          <w:bCs w:val="0"/>
          <w:color w:val="000000"/>
          <w:sz w:val="32"/>
          <w:szCs w:val="32"/>
          <w:lang w:val="en-US" w:eastAsia="zh-CN" w:bidi="ar-SA"/>
        </w:rPr>
        <w:t>5</w:t>
      </w:r>
      <w:r>
        <w:rPr>
          <w:rFonts w:hint="default" w:ascii="Times New Roman" w:hAnsi="Times New Roman" w:eastAsia="方正仿宋_GBK" w:cs="Times New Roman"/>
          <w:bCs/>
          <w:color w:val="000000"/>
          <w:sz w:val="32"/>
          <w:szCs w:val="32"/>
          <w:lang w:bidi="ar-SA"/>
        </w:rPr>
        <w:t>年政府采购</w:t>
      </w:r>
      <w:r>
        <w:rPr>
          <w:rFonts w:hint="default" w:ascii="Times New Roman" w:hAnsi="Times New Roman" w:eastAsia="方正仿宋_GBK" w:cs="Times New Roman"/>
          <w:bCs/>
          <w:color w:val="000000"/>
          <w:sz w:val="32"/>
          <w:szCs w:val="32"/>
          <w:lang w:val="en-US" w:eastAsia="zh-CN" w:bidi="ar-SA"/>
        </w:rPr>
        <w:t>合同</w:t>
      </w:r>
      <w:r>
        <w:rPr>
          <w:rFonts w:hint="default" w:ascii="Times New Roman" w:hAnsi="Times New Roman" w:eastAsia="方正仿宋_GBK" w:cs="Times New Roman"/>
          <w:bCs/>
          <w:color w:val="000000"/>
          <w:sz w:val="32"/>
          <w:szCs w:val="32"/>
          <w:lang w:bidi="ar-SA"/>
        </w:rPr>
        <w:t>总金额为</w:t>
      </w:r>
      <w:r>
        <w:rPr>
          <w:rFonts w:hint="eastAsia" w:eastAsia="方正仿宋_GBK" w:cs="Times New Roman"/>
          <w:b/>
          <w:bCs w:val="0"/>
          <w:color w:val="000000"/>
          <w:sz w:val="32"/>
          <w:szCs w:val="32"/>
          <w:lang w:val="en-US" w:eastAsia="zh-CN" w:bidi="ar-SA"/>
        </w:rPr>
        <w:t>38.86</w:t>
      </w:r>
      <w:r>
        <w:rPr>
          <w:rFonts w:hint="default" w:ascii="Times New Roman" w:hAnsi="Times New Roman" w:eastAsia="方正仿宋_GBK" w:cs="Times New Roman"/>
          <w:bCs/>
          <w:color w:val="000000"/>
          <w:sz w:val="32"/>
          <w:szCs w:val="32"/>
          <w:lang w:bidi="ar-SA"/>
        </w:rPr>
        <w:t>万元，主要用于购置本年度</w:t>
      </w:r>
      <w:r>
        <w:rPr>
          <w:rFonts w:hint="default" w:ascii="Times New Roman" w:hAnsi="Times New Roman" w:eastAsia="方正仿宋_GBK" w:cs="Times New Roman"/>
          <w:bCs/>
          <w:color w:val="000000"/>
          <w:sz w:val="32"/>
          <w:szCs w:val="32"/>
          <w:lang w:val="en-US" w:eastAsia="zh-CN" w:bidi="ar-SA"/>
        </w:rPr>
        <w:t>公务用车燃油费、维修费等费用，和</w:t>
      </w:r>
      <w:r>
        <w:rPr>
          <w:rFonts w:hint="default" w:ascii="Times New Roman" w:hAnsi="Times New Roman" w:eastAsia="方正仿宋_GBK" w:cs="Times New Roman"/>
          <w:bCs/>
          <w:color w:val="000000"/>
          <w:sz w:val="32"/>
          <w:szCs w:val="32"/>
          <w:lang w:bidi="ar-SA"/>
        </w:rPr>
        <w:t>必需办公设备。</w:t>
      </w:r>
      <w:r>
        <w:rPr>
          <w:rFonts w:hint="default" w:ascii="Times New Roman" w:hAnsi="Times New Roman" w:eastAsia="方正仿宋_GBK" w:cs="Times New Roman"/>
          <w:bCs/>
          <w:color w:val="000000"/>
          <w:sz w:val="32"/>
          <w:szCs w:val="32"/>
          <w:lang w:val="en-US" w:eastAsia="zh-CN" w:bidi="ar-SA"/>
        </w:rPr>
        <w:t>其中，向中小微企业政府采购金额为</w:t>
      </w:r>
      <w:r>
        <w:rPr>
          <w:rFonts w:hint="eastAsia" w:eastAsia="方正仿宋_GBK" w:cs="Times New Roman"/>
          <w:b/>
          <w:bCs w:val="0"/>
          <w:color w:val="000000"/>
          <w:sz w:val="32"/>
          <w:szCs w:val="32"/>
          <w:lang w:val="en-US" w:eastAsia="zh-CN" w:bidi="ar-SA"/>
        </w:rPr>
        <w:t>32.04</w:t>
      </w:r>
      <w:r>
        <w:rPr>
          <w:rFonts w:hint="default" w:ascii="Times New Roman" w:hAnsi="Times New Roman" w:eastAsia="方正仿宋_GBK" w:cs="Times New Roman"/>
          <w:bCs/>
          <w:color w:val="000000"/>
          <w:sz w:val="32"/>
          <w:szCs w:val="32"/>
          <w:lang w:val="en-US" w:eastAsia="zh-CN" w:bidi="ar-SA"/>
        </w:rPr>
        <w:t>万元。</w:t>
      </w:r>
    </w:p>
    <w:p w14:paraId="4859EC9B">
      <w:pPr>
        <w:keepNext w:val="0"/>
        <w:keepLines w:val="0"/>
        <w:pageBreakBefore w:val="0"/>
        <w:widowControl w:val="0"/>
        <w:suppressAutoHyphens/>
        <w:kinsoku/>
        <w:wordWrap/>
        <w:overflowPunct/>
        <w:topLinePunct w:val="0"/>
        <w:autoSpaceDE/>
        <w:autoSpaceDN/>
        <w:bidi w:val="0"/>
        <w:spacing w:line="240" w:lineRule="auto"/>
        <w:ind w:firstLine="643" w:firstLineChars="200"/>
        <w:textAlignment w:val="auto"/>
        <w:rPr>
          <w:rFonts w:hint="default" w:ascii="Times New Roman" w:hAnsi="Times New Roman" w:eastAsia="方正仿宋_GBK" w:cs="Times New Roman"/>
          <w:bCs/>
          <w:color w:val="000000"/>
          <w:sz w:val="32"/>
          <w:szCs w:val="32"/>
          <w:lang w:val="zh-CN" w:eastAsia="zh-CN" w:bidi="ar-SA"/>
        </w:rPr>
      </w:pPr>
      <w:r>
        <w:rPr>
          <w:rFonts w:hint="default" w:ascii="Times New Roman" w:hAnsi="Times New Roman" w:eastAsia="方正仿宋_GBK" w:cs="Times New Roman"/>
          <w:b/>
          <w:bCs w:val="0"/>
          <w:color w:val="000000"/>
          <w:sz w:val="32"/>
          <w:szCs w:val="32"/>
          <w:lang w:val="en-US" w:eastAsia="zh-CN" w:bidi="ar-SA"/>
        </w:rPr>
        <w:t>202</w:t>
      </w:r>
      <w:r>
        <w:rPr>
          <w:rFonts w:hint="eastAsia" w:eastAsia="方正仿宋_GBK" w:cs="Times New Roman"/>
          <w:b/>
          <w:bCs w:val="0"/>
          <w:color w:val="000000"/>
          <w:sz w:val="32"/>
          <w:szCs w:val="32"/>
          <w:lang w:val="en-US" w:eastAsia="zh-CN" w:bidi="ar-SA"/>
        </w:rPr>
        <w:t>5</w:t>
      </w:r>
      <w:r>
        <w:rPr>
          <w:rFonts w:hint="default" w:ascii="Times New Roman" w:hAnsi="Times New Roman" w:eastAsia="方正仿宋_GBK" w:cs="Times New Roman"/>
          <w:bCs/>
          <w:color w:val="000000"/>
          <w:sz w:val="32"/>
          <w:szCs w:val="32"/>
          <w:lang w:val="en-US" w:eastAsia="zh-CN" w:bidi="ar-SA"/>
        </w:rPr>
        <w:t>年政府采购预算为</w:t>
      </w:r>
      <w:r>
        <w:rPr>
          <w:rFonts w:hint="eastAsia" w:eastAsia="方正仿宋_GBK" w:cs="Times New Roman"/>
          <w:b/>
          <w:bCs w:val="0"/>
          <w:color w:val="000000"/>
          <w:sz w:val="32"/>
          <w:szCs w:val="32"/>
          <w:lang w:val="en-US" w:eastAsia="zh-CN" w:bidi="ar-SA"/>
        </w:rPr>
        <w:t>92.34</w:t>
      </w:r>
      <w:r>
        <w:rPr>
          <w:rFonts w:hint="default" w:ascii="Times New Roman" w:hAnsi="Times New Roman" w:eastAsia="方正仿宋_GBK" w:cs="Times New Roman"/>
          <w:bCs/>
          <w:color w:val="000000"/>
          <w:sz w:val="32"/>
          <w:szCs w:val="32"/>
          <w:lang w:val="en-US" w:eastAsia="zh-CN" w:bidi="ar-SA"/>
        </w:rPr>
        <w:t>万元，实际政府采购支出为</w:t>
      </w:r>
      <w:r>
        <w:rPr>
          <w:rFonts w:hint="eastAsia" w:eastAsia="方正仿宋_GBK" w:cs="Times New Roman"/>
          <w:b/>
          <w:bCs/>
          <w:sz w:val="32"/>
          <w:szCs w:val="32"/>
          <w:lang w:val="en-US" w:eastAsia="zh-CN"/>
        </w:rPr>
        <w:t>38.86</w:t>
      </w:r>
      <w:r>
        <w:rPr>
          <w:rFonts w:hint="default" w:ascii="Times New Roman" w:hAnsi="Times New Roman" w:eastAsia="方正仿宋_GBK" w:cs="Times New Roman"/>
          <w:bCs/>
          <w:color w:val="000000"/>
          <w:sz w:val="32"/>
          <w:szCs w:val="32"/>
          <w:lang w:val="en-US" w:eastAsia="zh-CN" w:bidi="ar-SA"/>
        </w:rPr>
        <w:t>万元，采购执行率为</w:t>
      </w:r>
      <w:r>
        <w:rPr>
          <w:rFonts w:hint="eastAsia" w:eastAsia="方正仿宋_GBK" w:cs="Times New Roman"/>
          <w:b/>
          <w:bCs w:val="0"/>
          <w:color w:val="000000"/>
          <w:sz w:val="32"/>
          <w:szCs w:val="32"/>
          <w:lang w:val="en-US" w:eastAsia="zh-CN" w:bidi="ar-SA"/>
        </w:rPr>
        <w:t>42.08</w:t>
      </w:r>
      <w:r>
        <w:rPr>
          <w:rFonts w:hint="default" w:ascii="Times New Roman" w:hAnsi="Times New Roman" w:eastAsia="方正仿宋_GBK" w:cs="Times New Roman"/>
          <w:b/>
          <w:bCs w:val="0"/>
          <w:color w:val="000000"/>
          <w:sz w:val="32"/>
          <w:szCs w:val="32"/>
          <w:lang w:val="en-US" w:eastAsia="zh-CN" w:bidi="ar-SA"/>
        </w:rPr>
        <w:t>%</w:t>
      </w:r>
      <w:r>
        <w:rPr>
          <w:rFonts w:hint="default" w:ascii="Times New Roman" w:hAnsi="Times New Roman" w:eastAsia="方正仿宋_GBK" w:cs="Times New Roman"/>
          <w:bCs/>
          <w:color w:val="000000"/>
          <w:sz w:val="32"/>
          <w:szCs w:val="32"/>
          <w:lang w:val="en-US" w:eastAsia="zh-CN" w:bidi="ar-SA"/>
        </w:rPr>
        <w:t>，采购执行率偏低的原因为根据工作实际情况需要，</w:t>
      </w:r>
      <w:r>
        <w:rPr>
          <w:rFonts w:hint="eastAsia" w:ascii="Times New Roman" w:hAnsi="Times New Roman" w:eastAsia="方正仿宋_GBK" w:cs="Times New Roman"/>
          <w:bCs/>
          <w:color w:val="000000"/>
          <w:sz w:val="32"/>
          <w:szCs w:val="32"/>
          <w:lang w:val="en-US" w:eastAsia="zh-CN" w:bidi="ar-SA"/>
        </w:rPr>
        <w:t>采购</w:t>
      </w:r>
      <w:r>
        <w:rPr>
          <w:rFonts w:hint="default" w:ascii="Times New Roman" w:hAnsi="Times New Roman" w:eastAsia="方正仿宋_GBK" w:cs="Times New Roman"/>
          <w:bCs/>
          <w:color w:val="000000"/>
          <w:sz w:val="32"/>
          <w:szCs w:val="32"/>
          <w:lang w:val="en-US" w:eastAsia="zh-CN" w:bidi="ar-SA"/>
        </w:rPr>
        <w:t>内容发生变化。</w:t>
      </w:r>
    </w:p>
    <w:p w14:paraId="1AA40638">
      <w:pPr>
        <w:keepNext w:val="0"/>
        <w:keepLines w:val="0"/>
        <w:pageBreakBefore w:val="0"/>
        <w:widowControl w:val="0"/>
        <w:numPr>
          <w:ilvl w:val="0"/>
          <w:numId w:val="1"/>
        </w:numPr>
        <w:suppressAutoHyphens/>
        <w:kinsoku/>
        <w:wordWrap/>
        <w:overflowPunct/>
        <w:topLinePunct w:val="0"/>
        <w:autoSpaceDE/>
        <w:autoSpaceDN/>
        <w:bidi w:val="0"/>
        <w:spacing w:line="240" w:lineRule="auto"/>
        <w:ind w:firstLine="643" w:firstLineChars="200"/>
        <w:textAlignment w:val="auto"/>
        <w:rPr>
          <w:rFonts w:hint="default" w:ascii="Times New Roman" w:hAnsi="Times New Roman" w:eastAsia="楷体_GB2312" w:cs="Times New Roman"/>
          <w:b/>
          <w:bCs/>
          <w:color w:val="000000"/>
          <w:kern w:val="0"/>
          <w:sz w:val="32"/>
          <w:szCs w:val="32"/>
          <w:highlight w:val="none"/>
          <w:shd w:val="clear" w:color="auto" w:fill="FFFFFF"/>
          <w:lang w:val="zh-CN"/>
        </w:rPr>
      </w:pPr>
      <w:r>
        <w:rPr>
          <w:rFonts w:hint="default" w:ascii="Times New Roman" w:hAnsi="Times New Roman" w:eastAsia="楷体_GB2312" w:cs="Times New Roman"/>
          <w:b/>
          <w:bCs/>
          <w:color w:val="000000"/>
          <w:kern w:val="0"/>
          <w:sz w:val="32"/>
          <w:szCs w:val="32"/>
          <w:highlight w:val="none"/>
          <w:shd w:val="clear" w:color="auto" w:fill="FFFFFF"/>
          <w:lang w:val="zh-CN"/>
        </w:rPr>
        <w:t>部门预算项目绩效分析。</w:t>
      </w:r>
    </w:p>
    <w:p w14:paraId="585D77E9">
      <w:pPr>
        <w:keepNext w:val="0"/>
        <w:keepLines w:val="0"/>
        <w:pageBreakBefore w:val="0"/>
        <w:widowControl w:val="0"/>
        <w:numPr>
          <w:ilvl w:val="0"/>
          <w:numId w:val="0"/>
        </w:numPr>
        <w:suppressAutoHyphens/>
        <w:kinsoku/>
        <w:wordWrap/>
        <w:overflowPunct/>
        <w:topLinePunct w:val="0"/>
        <w:autoSpaceDE/>
        <w:autoSpaceDN/>
        <w:bidi w:val="0"/>
        <w:spacing w:line="240" w:lineRule="auto"/>
        <w:ind w:firstLine="640" w:firstLineChars="200"/>
        <w:textAlignment w:val="auto"/>
        <w:rPr>
          <w:rFonts w:hint="default" w:ascii="Times New Roman" w:hAnsi="Times New Roman" w:eastAsia="方正仿宋_GBK" w:cs="Times New Roman"/>
          <w:bCs/>
          <w:color w:val="000000"/>
          <w:sz w:val="32"/>
          <w:szCs w:val="32"/>
          <w:lang w:val="zh-CN" w:eastAsia="zh-CN" w:bidi="ar-SA"/>
        </w:rPr>
      </w:pPr>
      <w:r>
        <w:rPr>
          <w:rFonts w:hint="default" w:ascii="Times New Roman" w:hAnsi="Times New Roman" w:eastAsia="方正仿宋_GBK" w:cs="Times New Roman"/>
          <w:bCs/>
          <w:color w:val="000000"/>
          <w:sz w:val="32"/>
          <w:szCs w:val="32"/>
          <w:lang w:val="zh-CN" w:eastAsia="zh-CN" w:bidi="ar-SA"/>
        </w:rPr>
        <w:t>常年项目绩效分析</w:t>
      </w:r>
      <w:r>
        <w:rPr>
          <w:rFonts w:hint="eastAsia" w:eastAsia="方正仿宋_GBK" w:cs="Times New Roman"/>
          <w:bCs/>
          <w:color w:val="000000"/>
          <w:sz w:val="32"/>
          <w:szCs w:val="32"/>
          <w:lang w:val="zh-CN" w:eastAsia="zh-CN" w:bidi="ar-SA"/>
        </w:rPr>
        <w:t>：</w:t>
      </w:r>
      <w:r>
        <w:rPr>
          <w:rFonts w:hint="default" w:ascii="Times New Roman" w:hAnsi="Times New Roman" w:eastAsia="方正仿宋_GBK" w:cs="Times New Roman"/>
          <w:bCs/>
          <w:color w:val="000000"/>
          <w:sz w:val="32"/>
          <w:szCs w:val="32"/>
          <w:lang w:val="zh-CN" w:eastAsia="zh-CN" w:bidi="ar-SA"/>
        </w:rPr>
        <w:t>该类项目总数</w:t>
      </w:r>
      <w:r>
        <w:rPr>
          <w:rFonts w:hint="eastAsia" w:eastAsia="方正仿宋_GBK" w:cs="Times New Roman"/>
          <w:bCs/>
          <w:color w:val="000000"/>
          <w:sz w:val="32"/>
          <w:szCs w:val="32"/>
          <w:lang w:val="en-US" w:eastAsia="zh-CN" w:bidi="ar-SA"/>
        </w:rPr>
        <w:t>0</w:t>
      </w:r>
      <w:r>
        <w:rPr>
          <w:rFonts w:hint="default" w:ascii="Times New Roman" w:hAnsi="Times New Roman" w:eastAsia="方正仿宋_GBK" w:cs="Times New Roman"/>
          <w:bCs/>
          <w:color w:val="000000"/>
          <w:sz w:val="32"/>
          <w:szCs w:val="32"/>
          <w:lang w:val="zh-CN" w:eastAsia="zh-CN" w:bidi="ar-SA"/>
        </w:rPr>
        <w:t>个，涉及预算总金额</w:t>
      </w:r>
      <w:r>
        <w:rPr>
          <w:rFonts w:hint="eastAsia" w:eastAsia="方正仿宋_GBK" w:cs="Times New Roman"/>
          <w:bCs/>
          <w:color w:val="000000"/>
          <w:sz w:val="32"/>
          <w:szCs w:val="32"/>
          <w:lang w:val="en-US" w:eastAsia="zh-CN" w:bidi="ar-SA"/>
        </w:rPr>
        <w:t>0</w:t>
      </w:r>
      <w:r>
        <w:rPr>
          <w:rFonts w:hint="default" w:ascii="Times New Roman" w:hAnsi="Times New Roman" w:eastAsia="方正仿宋_GBK" w:cs="Times New Roman"/>
          <w:bCs/>
          <w:color w:val="000000"/>
          <w:sz w:val="32"/>
          <w:szCs w:val="32"/>
          <w:lang w:val="zh-CN" w:eastAsia="zh-CN" w:bidi="ar-SA"/>
        </w:rPr>
        <w:t>万元，</w:t>
      </w:r>
      <w:r>
        <w:rPr>
          <w:rFonts w:hint="default" w:ascii="Times New Roman" w:hAnsi="Times New Roman" w:eastAsia="方正仿宋_GBK" w:cs="Times New Roman"/>
          <w:b w:val="0"/>
          <w:bCs/>
          <w:color w:val="000000"/>
          <w:sz w:val="32"/>
          <w:szCs w:val="32"/>
          <w:lang w:val="zh-CN" w:eastAsia="zh-CN" w:bidi="ar-SA"/>
        </w:rPr>
        <w:t>1—12</w:t>
      </w:r>
      <w:r>
        <w:rPr>
          <w:rFonts w:hint="default" w:ascii="Times New Roman" w:hAnsi="Times New Roman" w:eastAsia="方正仿宋_GBK" w:cs="Times New Roman"/>
          <w:bCs/>
          <w:color w:val="000000"/>
          <w:sz w:val="32"/>
          <w:szCs w:val="32"/>
          <w:lang w:val="zh-CN" w:eastAsia="zh-CN" w:bidi="ar-SA"/>
        </w:rPr>
        <w:t>月预算执行总体进度为</w:t>
      </w:r>
      <w:r>
        <w:rPr>
          <w:rFonts w:hint="eastAsia" w:eastAsia="方正仿宋_GBK" w:cs="Times New Roman"/>
          <w:b/>
          <w:bCs w:val="0"/>
          <w:color w:val="000000"/>
          <w:sz w:val="32"/>
          <w:szCs w:val="32"/>
          <w:lang w:val="en-US" w:eastAsia="zh-CN" w:bidi="ar-SA"/>
        </w:rPr>
        <w:t>0</w:t>
      </w:r>
      <w:r>
        <w:rPr>
          <w:rFonts w:hint="default" w:ascii="Times New Roman" w:hAnsi="Times New Roman" w:eastAsia="方正仿宋_GBK" w:cs="Times New Roman"/>
          <w:b/>
          <w:bCs w:val="0"/>
          <w:color w:val="000000"/>
          <w:sz w:val="32"/>
          <w:szCs w:val="32"/>
          <w:lang w:val="zh-CN" w:eastAsia="zh-CN" w:bidi="ar-SA"/>
        </w:rPr>
        <w:t>%</w:t>
      </w:r>
      <w:r>
        <w:rPr>
          <w:rFonts w:hint="default" w:ascii="Times New Roman" w:hAnsi="Times New Roman" w:eastAsia="方正仿宋_GBK" w:cs="Times New Roman"/>
          <w:bCs/>
          <w:color w:val="000000"/>
          <w:sz w:val="32"/>
          <w:szCs w:val="32"/>
          <w:lang w:val="zh-CN" w:eastAsia="zh-CN" w:bidi="ar-SA"/>
        </w:rPr>
        <w:t>，其中：预算结余率大于</w:t>
      </w:r>
      <w:r>
        <w:rPr>
          <w:rFonts w:hint="default" w:ascii="Times New Roman" w:hAnsi="Times New Roman" w:eastAsia="方正仿宋_GBK" w:cs="Times New Roman"/>
          <w:b/>
          <w:bCs w:val="0"/>
          <w:color w:val="000000"/>
          <w:sz w:val="32"/>
          <w:szCs w:val="32"/>
          <w:lang w:val="zh-CN" w:eastAsia="zh-CN" w:bidi="ar-SA"/>
        </w:rPr>
        <w:t>10%</w:t>
      </w:r>
      <w:r>
        <w:rPr>
          <w:rFonts w:hint="default" w:ascii="Times New Roman" w:hAnsi="Times New Roman" w:eastAsia="方正仿宋_GBK" w:cs="Times New Roman"/>
          <w:bCs/>
          <w:color w:val="000000"/>
          <w:sz w:val="32"/>
          <w:szCs w:val="32"/>
          <w:lang w:val="zh-CN" w:eastAsia="zh-CN" w:bidi="ar-SA"/>
        </w:rPr>
        <w:t>的项目共计</w:t>
      </w:r>
      <w:r>
        <w:rPr>
          <w:rFonts w:hint="default" w:ascii="Times New Roman" w:hAnsi="Times New Roman" w:eastAsia="方正仿宋_GBK" w:cs="Times New Roman"/>
          <w:b/>
          <w:bCs w:val="0"/>
          <w:color w:val="000000"/>
          <w:sz w:val="32"/>
          <w:szCs w:val="32"/>
          <w:lang w:bidi="ar-SA"/>
        </w:rPr>
        <w:t>0</w:t>
      </w:r>
      <w:r>
        <w:rPr>
          <w:rFonts w:hint="default" w:ascii="Times New Roman" w:hAnsi="Times New Roman" w:eastAsia="方正仿宋_GBK" w:cs="Times New Roman"/>
          <w:bCs/>
          <w:color w:val="000000"/>
          <w:sz w:val="32"/>
          <w:szCs w:val="32"/>
          <w:lang w:val="zh-CN" w:eastAsia="zh-CN" w:bidi="ar-SA"/>
        </w:rPr>
        <w:t>个。</w:t>
      </w:r>
    </w:p>
    <w:p w14:paraId="581A2EC2">
      <w:pPr>
        <w:keepNext w:val="0"/>
        <w:keepLines w:val="0"/>
        <w:pageBreakBefore w:val="0"/>
        <w:widowControl w:val="0"/>
        <w:suppressAutoHyphens/>
        <w:kinsoku/>
        <w:wordWrap/>
        <w:overflowPunct/>
        <w:topLinePunct w:val="0"/>
        <w:autoSpaceDE/>
        <w:autoSpaceDN/>
        <w:bidi w:val="0"/>
        <w:spacing w:line="240" w:lineRule="auto"/>
        <w:ind w:firstLine="640" w:firstLineChars="200"/>
        <w:textAlignment w:val="auto"/>
        <w:rPr>
          <w:rFonts w:hint="default" w:ascii="Times New Roman" w:hAnsi="Times New Roman" w:eastAsia="方正仿宋_GBK" w:cs="Times New Roman"/>
          <w:bCs/>
          <w:color w:val="000000"/>
          <w:sz w:val="32"/>
          <w:szCs w:val="32"/>
          <w:lang w:val="zh-CN" w:eastAsia="zh-CN" w:bidi="ar-SA"/>
        </w:rPr>
      </w:pPr>
      <w:r>
        <w:rPr>
          <w:rFonts w:hint="default" w:ascii="Times New Roman" w:hAnsi="Times New Roman" w:eastAsia="方正仿宋_GBK" w:cs="Times New Roman"/>
          <w:bCs/>
          <w:color w:val="000000"/>
          <w:sz w:val="32"/>
          <w:szCs w:val="32"/>
          <w:lang w:val="zh-CN" w:eastAsia="zh-CN" w:bidi="ar-SA"/>
        </w:rPr>
        <w:t>阶段（一次性）项目绩效分析</w:t>
      </w:r>
      <w:r>
        <w:rPr>
          <w:rFonts w:hint="eastAsia" w:eastAsia="方正仿宋_GBK" w:cs="Times New Roman"/>
          <w:bCs/>
          <w:color w:val="000000"/>
          <w:sz w:val="32"/>
          <w:szCs w:val="32"/>
          <w:lang w:val="zh-CN" w:eastAsia="zh-CN" w:bidi="ar-SA"/>
        </w:rPr>
        <w:t>：</w:t>
      </w:r>
      <w:r>
        <w:rPr>
          <w:rFonts w:hint="default" w:ascii="Times New Roman" w:hAnsi="Times New Roman" w:eastAsia="方正仿宋_GBK" w:cs="Times New Roman"/>
          <w:bCs/>
          <w:color w:val="000000"/>
          <w:sz w:val="32"/>
          <w:szCs w:val="32"/>
          <w:lang w:val="zh-CN" w:eastAsia="zh-CN" w:bidi="ar-SA"/>
        </w:rPr>
        <w:t>该类项目总数</w:t>
      </w:r>
      <w:r>
        <w:rPr>
          <w:rFonts w:hint="eastAsia" w:eastAsia="方正仿宋_GBK" w:cs="Times New Roman"/>
          <w:b/>
          <w:bCs w:val="0"/>
          <w:color w:val="000000"/>
          <w:sz w:val="32"/>
          <w:szCs w:val="32"/>
          <w:lang w:val="en-US" w:eastAsia="zh-CN" w:bidi="ar-SA"/>
        </w:rPr>
        <w:t>16</w:t>
      </w:r>
      <w:r>
        <w:rPr>
          <w:rFonts w:hint="default" w:ascii="Times New Roman" w:hAnsi="Times New Roman" w:eastAsia="方正仿宋_GBK" w:cs="Times New Roman"/>
          <w:bCs/>
          <w:color w:val="000000"/>
          <w:sz w:val="32"/>
          <w:szCs w:val="32"/>
          <w:lang w:val="zh-CN" w:eastAsia="zh-CN" w:bidi="ar-SA"/>
        </w:rPr>
        <w:t>个，涉及预算总金额</w:t>
      </w:r>
      <w:r>
        <w:rPr>
          <w:rFonts w:hint="eastAsia" w:eastAsia="方正仿宋_GBK" w:cs="Times New Roman"/>
          <w:b/>
          <w:bCs w:val="0"/>
          <w:color w:val="000000"/>
          <w:sz w:val="32"/>
          <w:szCs w:val="32"/>
          <w:lang w:val="en-US" w:eastAsia="zh-CN" w:bidi="ar-SA"/>
        </w:rPr>
        <w:t>1964.84</w:t>
      </w:r>
      <w:r>
        <w:rPr>
          <w:rFonts w:hint="default" w:ascii="Times New Roman" w:hAnsi="Times New Roman" w:eastAsia="方正仿宋_GBK" w:cs="Times New Roman"/>
          <w:bCs/>
          <w:color w:val="000000"/>
          <w:sz w:val="32"/>
          <w:szCs w:val="32"/>
          <w:lang w:val="zh-CN" w:eastAsia="zh-CN" w:bidi="ar-SA"/>
        </w:rPr>
        <w:t>万元，1—12月预算执行总体进度为</w:t>
      </w:r>
      <w:r>
        <w:rPr>
          <w:rFonts w:hint="default" w:ascii="Times New Roman" w:hAnsi="Times New Roman" w:eastAsia="方正仿宋_GBK" w:cs="Times New Roman"/>
          <w:b/>
          <w:bCs w:val="0"/>
          <w:color w:val="000000"/>
          <w:sz w:val="32"/>
          <w:szCs w:val="32"/>
          <w:lang w:bidi="ar-SA"/>
        </w:rPr>
        <w:t>100</w:t>
      </w:r>
      <w:r>
        <w:rPr>
          <w:rFonts w:hint="default" w:ascii="Times New Roman" w:hAnsi="Times New Roman" w:eastAsia="方正仿宋_GBK" w:cs="Times New Roman"/>
          <w:b/>
          <w:bCs w:val="0"/>
          <w:color w:val="000000"/>
          <w:sz w:val="32"/>
          <w:szCs w:val="32"/>
          <w:lang w:val="zh-CN" w:eastAsia="zh-CN" w:bidi="ar-SA"/>
        </w:rPr>
        <w:t>%</w:t>
      </w:r>
      <w:r>
        <w:rPr>
          <w:rFonts w:hint="default" w:ascii="Times New Roman" w:hAnsi="Times New Roman" w:eastAsia="方正仿宋_GBK" w:cs="Times New Roman"/>
          <w:bCs/>
          <w:color w:val="000000"/>
          <w:sz w:val="32"/>
          <w:szCs w:val="32"/>
          <w:lang w:val="zh-CN" w:eastAsia="zh-CN" w:bidi="ar-SA"/>
        </w:rPr>
        <w:t>，其中：预算结余率大于</w:t>
      </w:r>
      <w:r>
        <w:rPr>
          <w:rFonts w:hint="default" w:ascii="Times New Roman" w:hAnsi="Times New Roman" w:eastAsia="方正仿宋_GBK" w:cs="Times New Roman"/>
          <w:b/>
          <w:bCs w:val="0"/>
          <w:color w:val="000000"/>
          <w:sz w:val="32"/>
          <w:szCs w:val="32"/>
          <w:lang w:val="zh-CN" w:eastAsia="zh-CN" w:bidi="ar-SA"/>
        </w:rPr>
        <w:t>10%</w:t>
      </w:r>
      <w:r>
        <w:rPr>
          <w:rFonts w:hint="default" w:ascii="Times New Roman" w:hAnsi="Times New Roman" w:eastAsia="方正仿宋_GBK" w:cs="Times New Roman"/>
          <w:bCs/>
          <w:color w:val="000000"/>
          <w:sz w:val="32"/>
          <w:szCs w:val="32"/>
          <w:lang w:val="zh-CN" w:eastAsia="zh-CN" w:bidi="ar-SA"/>
        </w:rPr>
        <w:t>的项目共计</w:t>
      </w:r>
      <w:r>
        <w:rPr>
          <w:rFonts w:hint="default" w:ascii="Times New Roman" w:hAnsi="Times New Roman" w:eastAsia="方正仿宋_GBK" w:cs="Times New Roman"/>
          <w:b/>
          <w:bCs w:val="0"/>
          <w:color w:val="000000"/>
          <w:sz w:val="32"/>
          <w:szCs w:val="32"/>
          <w:lang w:bidi="ar-SA"/>
        </w:rPr>
        <w:t>0</w:t>
      </w:r>
      <w:r>
        <w:rPr>
          <w:rFonts w:hint="default" w:ascii="Times New Roman" w:hAnsi="Times New Roman" w:eastAsia="方正仿宋_GBK" w:cs="Times New Roman"/>
          <w:bCs/>
          <w:color w:val="000000"/>
          <w:sz w:val="32"/>
          <w:szCs w:val="32"/>
          <w:lang w:val="zh-CN" w:eastAsia="zh-CN" w:bidi="ar-SA"/>
        </w:rPr>
        <w:t>个。</w:t>
      </w:r>
    </w:p>
    <w:p w14:paraId="7535122F">
      <w:pPr>
        <w:keepNext w:val="0"/>
        <w:keepLines w:val="0"/>
        <w:pageBreakBefore w:val="0"/>
        <w:widowControl w:val="0"/>
        <w:kinsoku/>
        <w:wordWrap/>
        <w:overflowPunct/>
        <w:topLinePunct w:val="0"/>
        <w:autoSpaceDE/>
        <w:autoSpaceDN/>
        <w:bidi w:val="0"/>
        <w:spacing w:line="240" w:lineRule="auto"/>
        <w:ind w:firstLine="643" w:firstLineChars="200"/>
        <w:textAlignment w:val="auto"/>
        <w:rPr>
          <w:rFonts w:hint="default" w:ascii="Times New Roman" w:hAnsi="Times New Roman" w:eastAsia="方正仿宋_GBK" w:cs="Times New Roman"/>
          <w:b/>
          <w:bCs/>
          <w:sz w:val="32"/>
          <w:szCs w:val="32"/>
          <w:lang w:val="zh-CN" w:eastAsia="zh-CN" w:bidi="ar-SA"/>
        </w:rPr>
      </w:pPr>
      <w:r>
        <w:rPr>
          <w:rFonts w:hint="default" w:ascii="Times New Roman" w:hAnsi="Times New Roman" w:eastAsia="方正仿宋_GBK" w:cs="Times New Roman"/>
          <w:b/>
          <w:bCs/>
          <w:sz w:val="32"/>
          <w:szCs w:val="32"/>
          <w:lang w:bidi="ar-SA"/>
        </w:rPr>
        <w:t>1.</w:t>
      </w:r>
      <w:r>
        <w:rPr>
          <w:rFonts w:hint="default" w:ascii="Times New Roman" w:hAnsi="Times New Roman" w:eastAsia="方正仿宋_GBK" w:cs="Times New Roman"/>
          <w:b/>
          <w:bCs/>
          <w:sz w:val="32"/>
          <w:szCs w:val="32"/>
          <w:lang w:val="zh-CN" w:eastAsia="zh-CN" w:bidi="ar-SA"/>
        </w:rPr>
        <w:t>项目决策</w:t>
      </w:r>
    </w:p>
    <w:p w14:paraId="6DCFF16C">
      <w:pPr>
        <w:keepNext w:val="0"/>
        <w:keepLines w:val="0"/>
        <w:pageBreakBefore w:val="0"/>
        <w:widowControl w:val="0"/>
        <w:kinsoku/>
        <w:wordWrap/>
        <w:overflowPunct/>
        <w:topLinePunct w:val="0"/>
        <w:autoSpaceDE/>
        <w:autoSpaceDN/>
        <w:bidi w:val="0"/>
        <w:spacing w:line="240" w:lineRule="auto"/>
        <w:ind w:firstLine="640" w:firstLineChars="20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eastAsia="zh-CN" w:bidi="ar-SA"/>
        </w:rPr>
        <w:t>（</w:t>
      </w:r>
      <w:r>
        <w:rPr>
          <w:rFonts w:hint="default" w:ascii="Times New Roman" w:hAnsi="Times New Roman" w:eastAsia="方正仿宋_GBK" w:cs="Times New Roman"/>
          <w:sz w:val="32"/>
          <w:szCs w:val="32"/>
          <w:lang w:val="en-US" w:eastAsia="zh-CN" w:bidi="ar-SA"/>
        </w:rPr>
        <w:t>1</w:t>
      </w:r>
      <w:r>
        <w:rPr>
          <w:rFonts w:hint="default" w:ascii="Times New Roman" w:hAnsi="Times New Roman" w:eastAsia="方正仿宋_GBK" w:cs="Times New Roman"/>
          <w:sz w:val="32"/>
          <w:szCs w:val="32"/>
          <w:lang w:eastAsia="zh-CN" w:bidi="ar-SA"/>
        </w:rPr>
        <w:t>）</w:t>
      </w:r>
      <w:r>
        <w:rPr>
          <w:rFonts w:hint="default" w:ascii="Times New Roman" w:hAnsi="Times New Roman" w:eastAsia="方正仿宋_GBK" w:cs="Times New Roman"/>
          <w:sz w:val="32"/>
          <w:szCs w:val="32"/>
          <w:lang w:bidi="ar-SA"/>
        </w:rPr>
        <w:t>决策程序上，部门预算阶段项目（含一次性项目）共</w:t>
      </w:r>
      <w:r>
        <w:rPr>
          <w:rFonts w:hint="eastAsia" w:eastAsia="方正仿宋_GBK" w:cs="Times New Roman"/>
          <w:b/>
          <w:bCs/>
          <w:sz w:val="32"/>
          <w:szCs w:val="32"/>
          <w:lang w:val="en-US" w:eastAsia="zh-CN" w:bidi="ar-SA"/>
        </w:rPr>
        <w:t>16</w:t>
      </w:r>
      <w:r>
        <w:rPr>
          <w:rFonts w:hint="default" w:ascii="Times New Roman" w:hAnsi="Times New Roman" w:eastAsia="方正仿宋_GBK" w:cs="Times New Roman"/>
          <w:sz w:val="32"/>
          <w:szCs w:val="32"/>
          <w:lang w:bidi="ar-SA"/>
        </w:rPr>
        <w:t>个，其中未履行事前评估程序的</w:t>
      </w:r>
      <w:r>
        <w:rPr>
          <w:rFonts w:hint="default" w:ascii="Times New Roman" w:hAnsi="Times New Roman" w:eastAsia="方正仿宋_GBK" w:cs="Times New Roman"/>
          <w:b/>
          <w:bCs/>
          <w:sz w:val="32"/>
          <w:szCs w:val="32"/>
          <w:lang w:bidi="ar-SA"/>
        </w:rPr>
        <w:t>0</w:t>
      </w:r>
      <w:r>
        <w:rPr>
          <w:rFonts w:hint="default" w:ascii="Times New Roman" w:hAnsi="Times New Roman" w:eastAsia="方正仿宋_GBK" w:cs="Times New Roman"/>
          <w:sz w:val="32"/>
          <w:szCs w:val="32"/>
          <w:lang w:bidi="ar-SA"/>
        </w:rPr>
        <w:t>个。</w:t>
      </w:r>
    </w:p>
    <w:p w14:paraId="0298BC48">
      <w:pPr>
        <w:keepNext w:val="0"/>
        <w:keepLines w:val="0"/>
        <w:pageBreakBefore w:val="0"/>
        <w:widowControl w:val="0"/>
        <w:kinsoku/>
        <w:wordWrap/>
        <w:overflowPunct/>
        <w:topLinePunct w:val="0"/>
        <w:autoSpaceDE/>
        <w:autoSpaceDN/>
        <w:bidi w:val="0"/>
        <w:spacing w:line="240" w:lineRule="auto"/>
        <w:ind w:firstLine="640" w:firstLineChars="200"/>
        <w:textAlignment w:val="auto"/>
        <w:rPr>
          <w:rFonts w:hint="default" w:ascii="Times New Roman" w:hAnsi="Times New Roman" w:eastAsia="方正仿宋_GBK" w:cs="Times New Roman"/>
          <w:sz w:val="32"/>
          <w:szCs w:val="32"/>
          <w:lang w:bidi="ar-SA"/>
        </w:rPr>
      </w:pPr>
      <w:r>
        <w:rPr>
          <w:rFonts w:hint="default" w:ascii="Times New Roman" w:hAnsi="Times New Roman" w:eastAsia="方正仿宋_GBK" w:cs="Times New Roman"/>
          <w:sz w:val="32"/>
          <w:szCs w:val="32"/>
          <w:lang w:eastAsia="zh-CN" w:bidi="ar-SA"/>
        </w:rPr>
        <w:t>（</w:t>
      </w:r>
      <w:r>
        <w:rPr>
          <w:rFonts w:hint="default" w:ascii="Times New Roman" w:hAnsi="Times New Roman" w:eastAsia="方正仿宋_GBK" w:cs="Times New Roman"/>
          <w:sz w:val="32"/>
          <w:szCs w:val="32"/>
          <w:lang w:val="en-US" w:eastAsia="zh-CN" w:bidi="ar-SA"/>
        </w:rPr>
        <w:t>2</w:t>
      </w:r>
      <w:r>
        <w:rPr>
          <w:rFonts w:hint="default" w:ascii="Times New Roman" w:hAnsi="Times New Roman" w:eastAsia="方正仿宋_GBK" w:cs="Times New Roman"/>
          <w:sz w:val="32"/>
          <w:szCs w:val="32"/>
          <w:lang w:eastAsia="zh-CN" w:bidi="ar-SA"/>
        </w:rPr>
        <w:t>）</w:t>
      </w:r>
      <w:r>
        <w:rPr>
          <w:rFonts w:hint="default" w:ascii="Times New Roman" w:hAnsi="Times New Roman" w:eastAsia="方正仿宋_GBK" w:cs="Times New Roman"/>
          <w:sz w:val="32"/>
          <w:szCs w:val="32"/>
          <w:lang w:bidi="ar-SA"/>
        </w:rPr>
        <w:t>目标设置上，预算安排匹配部门预算阶段项目（含一次性项目）</w:t>
      </w:r>
    </w:p>
    <w:p w14:paraId="337766AF">
      <w:pPr>
        <w:keepNext w:val="0"/>
        <w:keepLines w:val="0"/>
        <w:pageBreakBefore w:val="0"/>
        <w:widowControl w:val="0"/>
        <w:kinsoku/>
        <w:wordWrap/>
        <w:overflowPunct/>
        <w:topLinePunct w:val="0"/>
        <w:autoSpaceDE/>
        <w:autoSpaceDN/>
        <w:bidi w:val="0"/>
        <w:spacing w:line="240" w:lineRule="auto"/>
        <w:ind w:firstLine="640" w:firstLineChars="200"/>
        <w:textAlignment w:val="auto"/>
        <w:rPr>
          <w:rFonts w:hint="default" w:ascii="Times New Roman" w:hAnsi="Times New Roman" w:eastAsia="方正仿宋_GBK" w:cs="Times New Roman"/>
          <w:sz w:val="32"/>
          <w:szCs w:val="32"/>
          <w:lang w:val="zh-CN" w:eastAsia="zh-CN" w:bidi="ar-SA"/>
        </w:rPr>
      </w:pPr>
      <w:r>
        <w:rPr>
          <w:rFonts w:hint="default" w:ascii="Times New Roman" w:hAnsi="Times New Roman" w:eastAsia="方正仿宋_GBK" w:cs="Times New Roman"/>
          <w:sz w:val="32"/>
          <w:szCs w:val="32"/>
          <w:lang w:eastAsia="zh-CN" w:bidi="ar-SA"/>
        </w:rPr>
        <w:t>（</w:t>
      </w:r>
      <w:r>
        <w:rPr>
          <w:rFonts w:hint="default" w:ascii="Times New Roman" w:hAnsi="Times New Roman" w:eastAsia="方正仿宋_GBK" w:cs="Times New Roman"/>
          <w:sz w:val="32"/>
          <w:szCs w:val="32"/>
          <w:lang w:val="en-US" w:eastAsia="zh-CN" w:bidi="ar-SA"/>
        </w:rPr>
        <w:t>3</w:t>
      </w:r>
      <w:r>
        <w:rPr>
          <w:rFonts w:hint="default" w:ascii="Times New Roman" w:hAnsi="Times New Roman" w:eastAsia="方正仿宋_GBK" w:cs="Times New Roman"/>
          <w:sz w:val="32"/>
          <w:szCs w:val="32"/>
          <w:lang w:eastAsia="zh-CN" w:bidi="ar-SA"/>
        </w:rPr>
        <w:t>）</w:t>
      </w:r>
      <w:r>
        <w:rPr>
          <w:rFonts w:hint="default" w:ascii="Times New Roman" w:hAnsi="Times New Roman" w:eastAsia="方正仿宋_GBK" w:cs="Times New Roman"/>
          <w:sz w:val="32"/>
          <w:szCs w:val="32"/>
          <w:lang w:bidi="ar-SA"/>
        </w:rPr>
        <w:t>项目入库上，部门预算阶段项目入库均在规定时间内完成。</w:t>
      </w:r>
    </w:p>
    <w:p w14:paraId="3D23B252">
      <w:pPr>
        <w:keepNext w:val="0"/>
        <w:keepLines w:val="0"/>
        <w:pageBreakBefore w:val="0"/>
        <w:widowControl w:val="0"/>
        <w:kinsoku/>
        <w:wordWrap/>
        <w:overflowPunct/>
        <w:topLinePunct w:val="0"/>
        <w:autoSpaceDE/>
        <w:autoSpaceDN/>
        <w:bidi w:val="0"/>
        <w:spacing w:line="240" w:lineRule="auto"/>
        <w:ind w:firstLine="643" w:firstLineChars="200"/>
        <w:textAlignment w:val="auto"/>
        <w:rPr>
          <w:rFonts w:hint="default" w:ascii="Times New Roman" w:hAnsi="Times New Roman" w:eastAsia="方正仿宋_GBK" w:cs="Times New Roman"/>
          <w:b/>
          <w:bCs/>
          <w:sz w:val="32"/>
          <w:szCs w:val="32"/>
          <w:lang w:val="zh-CN" w:eastAsia="zh-CN" w:bidi="ar-SA"/>
        </w:rPr>
      </w:pPr>
      <w:r>
        <w:rPr>
          <w:rFonts w:hint="default" w:ascii="Times New Roman" w:hAnsi="Times New Roman" w:eastAsia="方正仿宋_GBK" w:cs="Times New Roman"/>
          <w:b/>
          <w:bCs/>
          <w:sz w:val="32"/>
          <w:szCs w:val="32"/>
          <w:lang w:bidi="ar-SA"/>
        </w:rPr>
        <w:t>2.项目执行</w:t>
      </w:r>
    </w:p>
    <w:p w14:paraId="2F0A11E8">
      <w:pPr>
        <w:keepNext w:val="0"/>
        <w:keepLines w:val="0"/>
        <w:pageBreakBefore w:val="0"/>
        <w:widowControl w:val="0"/>
        <w:kinsoku/>
        <w:wordWrap/>
        <w:overflowPunct/>
        <w:topLinePunct w:val="0"/>
        <w:autoSpaceDE/>
        <w:autoSpaceDN/>
        <w:bidi w:val="0"/>
        <w:spacing w:line="240" w:lineRule="auto"/>
        <w:ind w:firstLine="640" w:firstLineChars="200"/>
        <w:textAlignment w:val="auto"/>
        <w:rPr>
          <w:rFonts w:hint="default" w:ascii="Times New Roman" w:hAnsi="Times New Roman" w:eastAsia="方正仿宋_GBK" w:cs="Times New Roman"/>
          <w:sz w:val="32"/>
          <w:szCs w:val="32"/>
          <w:lang w:val="zh-CN" w:eastAsia="zh-CN" w:bidi="ar-SA"/>
        </w:rPr>
      </w:pPr>
      <w:r>
        <w:rPr>
          <w:rFonts w:hint="default" w:ascii="Times New Roman" w:hAnsi="Times New Roman" w:eastAsia="方正仿宋_GBK" w:cs="Times New Roman"/>
          <w:sz w:val="32"/>
          <w:szCs w:val="32"/>
          <w:lang w:val="zh-CN" w:eastAsia="zh-CN" w:bidi="ar-SA"/>
        </w:rPr>
        <w:t>（</w:t>
      </w:r>
      <w:r>
        <w:rPr>
          <w:rFonts w:hint="default" w:ascii="Times New Roman" w:hAnsi="Times New Roman" w:eastAsia="方正仿宋_GBK" w:cs="Times New Roman"/>
          <w:sz w:val="32"/>
          <w:szCs w:val="32"/>
          <w:lang w:val="en-US" w:eastAsia="zh-CN" w:bidi="ar-SA"/>
        </w:rPr>
        <w:t>1</w:t>
      </w:r>
      <w:r>
        <w:rPr>
          <w:rFonts w:hint="default" w:ascii="Times New Roman" w:hAnsi="Times New Roman" w:eastAsia="方正仿宋_GBK" w:cs="Times New Roman"/>
          <w:sz w:val="32"/>
          <w:szCs w:val="32"/>
          <w:lang w:val="zh-CN" w:eastAsia="zh-CN" w:bidi="ar-SA"/>
        </w:rPr>
        <w:t>）资金执行同向上，部门预算阶段项目（含一次性项目）实际列支内容均与绩效目标设置方向相符，不存在不相符的情况。</w:t>
      </w:r>
    </w:p>
    <w:p w14:paraId="096A91F0">
      <w:pPr>
        <w:keepNext w:val="0"/>
        <w:keepLines w:val="0"/>
        <w:pageBreakBefore w:val="0"/>
        <w:widowControl w:val="0"/>
        <w:kinsoku/>
        <w:wordWrap/>
        <w:overflowPunct/>
        <w:topLinePunct w:val="0"/>
        <w:autoSpaceDE/>
        <w:autoSpaceDN/>
        <w:bidi w:val="0"/>
        <w:spacing w:line="240" w:lineRule="auto"/>
        <w:ind w:firstLine="640" w:firstLineChars="200"/>
        <w:textAlignment w:val="auto"/>
        <w:rPr>
          <w:rFonts w:hint="default" w:ascii="Times New Roman" w:hAnsi="Times New Roman" w:eastAsia="方正仿宋_GBK" w:cs="Times New Roman"/>
          <w:sz w:val="32"/>
          <w:szCs w:val="32"/>
          <w:lang w:val="zh-CN" w:eastAsia="zh-CN" w:bidi="ar-SA"/>
        </w:rPr>
      </w:pPr>
      <w:r>
        <w:rPr>
          <w:rFonts w:hint="default" w:ascii="Times New Roman" w:hAnsi="Times New Roman" w:eastAsia="方正仿宋_GBK" w:cs="Times New Roman"/>
          <w:sz w:val="32"/>
          <w:szCs w:val="32"/>
          <w:lang w:val="zh-CN" w:eastAsia="zh-CN" w:bidi="ar-SA"/>
        </w:rPr>
        <w:t>（</w:t>
      </w:r>
      <w:r>
        <w:rPr>
          <w:rFonts w:hint="default" w:ascii="Times New Roman" w:hAnsi="Times New Roman" w:eastAsia="方正仿宋_GBK" w:cs="Times New Roman"/>
          <w:sz w:val="32"/>
          <w:szCs w:val="32"/>
          <w:lang w:val="en-US" w:eastAsia="zh-CN" w:bidi="ar-SA"/>
        </w:rPr>
        <w:t>2</w:t>
      </w:r>
      <w:r>
        <w:rPr>
          <w:rFonts w:hint="default" w:ascii="Times New Roman" w:hAnsi="Times New Roman" w:eastAsia="方正仿宋_GBK" w:cs="Times New Roman"/>
          <w:sz w:val="32"/>
          <w:szCs w:val="32"/>
          <w:lang w:val="zh-CN" w:eastAsia="zh-CN" w:bidi="ar-SA"/>
        </w:rPr>
        <w:t>）项目调整上，不存在应采取未采取收回预算、调整目标等处置措施的部门预算阶段项目（含一次性项目）。</w:t>
      </w:r>
    </w:p>
    <w:p w14:paraId="1CF12680">
      <w:pPr>
        <w:keepNext w:val="0"/>
        <w:keepLines w:val="0"/>
        <w:pageBreakBefore w:val="0"/>
        <w:widowControl w:val="0"/>
        <w:kinsoku/>
        <w:wordWrap/>
        <w:overflowPunct/>
        <w:topLinePunct w:val="0"/>
        <w:autoSpaceDE/>
        <w:autoSpaceDN/>
        <w:bidi w:val="0"/>
        <w:spacing w:line="240" w:lineRule="auto"/>
        <w:ind w:firstLine="640" w:firstLineChars="200"/>
        <w:textAlignment w:val="auto"/>
        <w:rPr>
          <w:rFonts w:hint="default" w:ascii="Times New Roman" w:hAnsi="Times New Roman" w:eastAsia="方正仿宋_GBK" w:cs="Times New Roman"/>
          <w:sz w:val="32"/>
          <w:szCs w:val="32"/>
          <w:lang w:bidi="ar-SA"/>
        </w:rPr>
      </w:pPr>
      <w:r>
        <w:rPr>
          <w:rFonts w:hint="default" w:ascii="Times New Roman" w:hAnsi="Times New Roman" w:eastAsia="方正仿宋_GBK" w:cs="Times New Roman"/>
          <w:sz w:val="32"/>
          <w:szCs w:val="32"/>
          <w:lang w:val="zh-CN" w:eastAsia="zh-CN" w:bidi="ar-SA"/>
        </w:rPr>
        <w:t>（</w:t>
      </w:r>
      <w:r>
        <w:rPr>
          <w:rFonts w:hint="default" w:ascii="Times New Roman" w:hAnsi="Times New Roman" w:eastAsia="方正仿宋_GBK" w:cs="Times New Roman"/>
          <w:sz w:val="32"/>
          <w:szCs w:val="32"/>
          <w:lang w:val="en-US" w:eastAsia="zh-CN" w:bidi="ar-SA"/>
        </w:rPr>
        <w:t>3</w:t>
      </w:r>
      <w:r>
        <w:rPr>
          <w:rFonts w:hint="default" w:ascii="Times New Roman" w:hAnsi="Times New Roman" w:eastAsia="方正仿宋_GBK" w:cs="Times New Roman"/>
          <w:sz w:val="32"/>
          <w:szCs w:val="32"/>
          <w:lang w:val="zh-CN" w:eastAsia="zh-CN" w:bidi="ar-SA"/>
        </w:rPr>
        <w:t>）执行结果上，部门预算阶段项目（含一次性项目）预算结余率</w:t>
      </w:r>
      <w:r>
        <w:rPr>
          <w:rFonts w:hint="default" w:ascii="Times New Roman" w:hAnsi="Times New Roman" w:eastAsia="方正仿宋_GBK" w:cs="Times New Roman"/>
          <w:sz w:val="32"/>
          <w:szCs w:val="32"/>
          <w:lang w:bidi="ar-SA"/>
        </w:rPr>
        <w:t>均</w:t>
      </w:r>
      <w:r>
        <w:rPr>
          <w:rFonts w:hint="default" w:ascii="Times New Roman" w:hAnsi="Times New Roman" w:eastAsia="方正仿宋_GBK" w:cs="Times New Roman"/>
          <w:sz w:val="32"/>
          <w:szCs w:val="32"/>
          <w:lang w:val="zh-CN" w:eastAsia="zh-CN" w:bidi="ar-SA"/>
        </w:rPr>
        <w:t>小于</w:t>
      </w:r>
      <w:r>
        <w:rPr>
          <w:rFonts w:hint="default" w:ascii="Times New Roman" w:hAnsi="Times New Roman" w:eastAsia="方正仿宋_GBK" w:cs="Times New Roman"/>
          <w:b/>
          <w:bCs/>
          <w:sz w:val="32"/>
          <w:szCs w:val="32"/>
          <w:lang w:val="zh-CN" w:eastAsia="zh-CN" w:bidi="ar-SA"/>
        </w:rPr>
        <w:t>10%</w:t>
      </w:r>
      <w:r>
        <w:rPr>
          <w:rFonts w:hint="default" w:ascii="Times New Roman" w:hAnsi="Times New Roman" w:eastAsia="方正仿宋_GBK" w:cs="Times New Roman"/>
          <w:sz w:val="32"/>
          <w:szCs w:val="32"/>
          <w:lang w:val="zh-CN" w:eastAsia="zh-CN" w:bidi="ar-SA"/>
        </w:rPr>
        <w:t>。</w:t>
      </w:r>
    </w:p>
    <w:p w14:paraId="195251F4">
      <w:pPr>
        <w:keepNext w:val="0"/>
        <w:keepLines w:val="0"/>
        <w:pageBreakBefore w:val="0"/>
        <w:widowControl w:val="0"/>
        <w:kinsoku/>
        <w:wordWrap/>
        <w:overflowPunct/>
        <w:topLinePunct w:val="0"/>
        <w:autoSpaceDE/>
        <w:autoSpaceDN/>
        <w:bidi w:val="0"/>
        <w:spacing w:line="240" w:lineRule="auto"/>
        <w:ind w:firstLine="643" w:firstLineChars="200"/>
        <w:textAlignment w:val="auto"/>
        <w:rPr>
          <w:rFonts w:hint="default" w:ascii="Times New Roman" w:hAnsi="Times New Roman" w:eastAsia="方正仿宋_GBK" w:cs="Times New Roman"/>
          <w:b/>
          <w:bCs/>
          <w:sz w:val="32"/>
          <w:szCs w:val="32"/>
          <w:lang w:val="zh-CN" w:eastAsia="zh-CN" w:bidi="ar-SA"/>
        </w:rPr>
      </w:pPr>
      <w:r>
        <w:rPr>
          <w:rFonts w:hint="default" w:ascii="Times New Roman" w:hAnsi="Times New Roman" w:eastAsia="方正仿宋_GBK" w:cs="Times New Roman"/>
          <w:b/>
          <w:bCs/>
          <w:sz w:val="32"/>
          <w:szCs w:val="32"/>
          <w:lang w:bidi="ar-SA"/>
        </w:rPr>
        <w:t>3.</w:t>
      </w:r>
      <w:r>
        <w:rPr>
          <w:rFonts w:hint="default" w:ascii="Times New Roman" w:hAnsi="Times New Roman" w:eastAsia="方正仿宋_GBK" w:cs="Times New Roman"/>
          <w:b/>
          <w:bCs/>
          <w:sz w:val="32"/>
          <w:szCs w:val="32"/>
          <w:lang w:val="zh-CN" w:eastAsia="zh-CN" w:bidi="ar-SA"/>
        </w:rPr>
        <w:t>目标实现</w:t>
      </w:r>
    </w:p>
    <w:p w14:paraId="79AA1FFB">
      <w:pPr>
        <w:keepNext w:val="0"/>
        <w:keepLines w:val="0"/>
        <w:pageBreakBefore w:val="0"/>
        <w:widowControl w:val="0"/>
        <w:kinsoku/>
        <w:wordWrap/>
        <w:overflowPunct/>
        <w:topLinePunct w:val="0"/>
        <w:autoSpaceDE/>
        <w:autoSpaceDN/>
        <w:bidi w:val="0"/>
        <w:spacing w:line="240" w:lineRule="auto"/>
        <w:ind w:firstLine="640" w:firstLineChars="200"/>
        <w:textAlignment w:val="auto"/>
        <w:rPr>
          <w:rFonts w:hint="default" w:ascii="Times New Roman" w:hAnsi="Times New Roman" w:eastAsia="方正仿宋_GBK" w:cs="Times New Roman"/>
          <w:sz w:val="32"/>
          <w:szCs w:val="32"/>
          <w:lang w:val="zh-CN" w:eastAsia="zh-CN" w:bidi="ar-SA"/>
        </w:rPr>
      </w:pPr>
      <w:r>
        <w:rPr>
          <w:rFonts w:hint="default" w:ascii="Times New Roman" w:hAnsi="Times New Roman" w:eastAsia="方正仿宋_GBK" w:cs="Times New Roman"/>
          <w:sz w:val="32"/>
          <w:szCs w:val="32"/>
          <w:lang w:val="zh-CN" w:eastAsia="zh-CN" w:bidi="ar-SA"/>
        </w:rPr>
        <w:t>（</w:t>
      </w:r>
      <w:r>
        <w:rPr>
          <w:rFonts w:hint="default" w:ascii="Times New Roman" w:hAnsi="Times New Roman" w:eastAsia="方正仿宋_GBK" w:cs="Times New Roman"/>
          <w:sz w:val="32"/>
          <w:szCs w:val="32"/>
          <w:lang w:val="en-US" w:eastAsia="zh-CN" w:bidi="ar-SA"/>
        </w:rPr>
        <w:t>1</w:t>
      </w:r>
      <w:r>
        <w:rPr>
          <w:rFonts w:hint="default" w:ascii="Times New Roman" w:hAnsi="Times New Roman" w:eastAsia="方正仿宋_GBK" w:cs="Times New Roman"/>
          <w:sz w:val="32"/>
          <w:szCs w:val="32"/>
          <w:lang w:val="zh-CN" w:eastAsia="zh-CN" w:bidi="ar-SA"/>
        </w:rPr>
        <w:t>）目标完成上，部门预算阶段项目（含一次性项目）</w:t>
      </w:r>
      <w:r>
        <w:rPr>
          <w:rFonts w:hint="default" w:ascii="Times New Roman" w:hAnsi="Times New Roman" w:eastAsia="方正仿宋_GBK" w:cs="Times New Roman"/>
          <w:sz w:val="32"/>
          <w:szCs w:val="32"/>
          <w:lang w:bidi="ar-SA"/>
        </w:rPr>
        <w:t>均完成目标</w:t>
      </w:r>
      <w:r>
        <w:rPr>
          <w:rFonts w:hint="default" w:ascii="Times New Roman" w:hAnsi="Times New Roman" w:eastAsia="方正仿宋_GBK" w:cs="Times New Roman"/>
          <w:sz w:val="32"/>
          <w:szCs w:val="32"/>
          <w:lang w:val="zh-CN" w:eastAsia="zh-CN" w:bidi="ar-SA"/>
        </w:rPr>
        <w:t>。</w:t>
      </w:r>
    </w:p>
    <w:p w14:paraId="08955F99">
      <w:pPr>
        <w:keepNext w:val="0"/>
        <w:keepLines w:val="0"/>
        <w:pageBreakBefore w:val="0"/>
        <w:widowControl w:val="0"/>
        <w:kinsoku/>
        <w:wordWrap/>
        <w:overflowPunct/>
        <w:topLinePunct w:val="0"/>
        <w:autoSpaceDE/>
        <w:autoSpaceDN/>
        <w:bidi w:val="0"/>
        <w:spacing w:line="240" w:lineRule="auto"/>
        <w:ind w:firstLine="640" w:firstLineChars="200"/>
        <w:textAlignment w:val="auto"/>
        <w:rPr>
          <w:rFonts w:hint="default" w:ascii="Times New Roman" w:hAnsi="Times New Roman" w:eastAsia="方正仿宋_GBK" w:cs="Times New Roman"/>
          <w:sz w:val="32"/>
          <w:szCs w:val="32"/>
          <w:lang w:bidi="ar-SA"/>
        </w:rPr>
      </w:pPr>
      <w:r>
        <w:rPr>
          <w:rFonts w:hint="default" w:ascii="Times New Roman" w:hAnsi="Times New Roman" w:eastAsia="方正仿宋_GBK" w:cs="Times New Roman"/>
          <w:sz w:val="32"/>
          <w:szCs w:val="32"/>
          <w:lang w:val="zh-CN" w:eastAsia="zh-CN" w:bidi="ar-SA"/>
        </w:rPr>
        <w:t>（</w:t>
      </w:r>
      <w:r>
        <w:rPr>
          <w:rFonts w:hint="default" w:ascii="Times New Roman" w:hAnsi="Times New Roman" w:eastAsia="方正仿宋_GBK" w:cs="Times New Roman"/>
          <w:sz w:val="32"/>
          <w:szCs w:val="32"/>
          <w:lang w:val="en-US" w:eastAsia="zh-CN" w:bidi="ar-SA"/>
        </w:rPr>
        <w:t>2</w:t>
      </w:r>
      <w:r>
        <w:rPr>
          <w:rFonts w:hint="default" w:ascii="Times New Roman" w:hAnsi="Times New Roman" w:eastAsia="方正仿宋_GBK" w:cs="Times New Roman"/>
          <w:sz w:val="32"/>
          <w:szCs w:val="32"/>
          <w:lang w:val="zh-CN" w:eastAsia="zh-CN" w:bidi="ar-SA"/>
        </w:rPr>
        <w:t>）目标偏离上，部门预算阶段项目（含一次性项目）所有已完成预期指标值的数量指标中偏离度均在</w:t>
      </w:r>
      <w:r>
        <w:rPr>
          <w:rFonts w:hint="default" w:ascii="Times New Roman" w:hAnsi="Times New Roman" w:eastAsia="方正仿宋_GBK" w:cs="Times New Roman"/>
          <w:b/>
          <w:bCs/>
          <w:sz w:val="32"/>
          <w:szCs w:val="32"/>
          <w:lang w:bidi="ar-SA"/>
        </w:rPr>
        <w:t>10</w:t>
      </w:r>
      <w:r>
        <w:rPr>
          <w:rFonts w:hint="default" w:ascii="Times New Roman" w:hAnsi="Times New Roman" w:eastAsia="方正仿宋_GBK" w:cs="Times New Roman"/>
          <w:b/>
          <w:bCs/>
          <w:sz w:val="32"/>
          <w:szCs w:val="32"/>
          <w:lang w:val="zh-CN" w:eastAsia="zh-CN" w:bidi="ar-SA"/>
        </w:rPr>
        <w:t>%</w:t>
      </w:r>
      <w:r>
        <w:rPr>
          <w:rFonts w:hint="default" w:ascii="Times New Roman" w:hAnsi="Times New Roman" w:eastAsia="方正仿宋_GBK" w:cs="Times New Roman"/>
          <w:sz w:val="32"/>
          <w:szCs w:val="32"/>
          <w:lang w:bidi="ar-SA"/>
        </w:rPr>
        <w:t>以</w:t>
      </w:r>
      <w:r>
        <w:rPr>
          <w:rFonts w:hint="default" w:ascii="Times New Roman" w:hAnsi="Times New Roman" w:eastAsia="方正仿宋_GBK" w:cs="Times New Roman"/>
          <w:sz w:val="32"/>
          <w:szCs w:val="32"/>
          <w:lang w:val="zh-CN" w:eastAsia="zh-CN" w:bidi="ar-SA"/>
        </w:rPr>
        <w:t>内。</w:t>
      </w:r>
    </w:p>
    <w:p w14:paraId="4E467B83">
      <w:pPr>
        <w:keepNext w:val="0"/>
        <w:keepLines w:val="0"/>
        <w:pageBreakBefore w:val="0"/>
        <w:widowControl w:val="0"/>
        <w:kinsoku/>
        <w:wordWrap/>
        <w:overflowPunct/>
        <w:topLinePunct w:val="0"/>
        <w:autoSpaceDE/>
        <w:autoSpaceDN/>
        <w:bidi w:val="0"/>
        <w:spacing w:line="240" w:lineRule="auto"/>
        <w:ind w:firstLine="640" w:firstLineChars="200"/>
        <w:textAlignment w:val="auto"/>
        <w:rPr>
          <w:rFonts w:hint="default" w:ascii="Times New Roman" w:hAnsi="Times New Roman" w:eastAsia="方正仿宋_GBK" w:cs="Times New Roman"/>
          <w:sz w:val="32"/>
          <w:szCs w:val="32"/>
          <w:lang w:val="zh-CN" w:eastAsia="zh-CN" w:bidi="ar-SA"/>
        </w:rPr>
      </w:pPr>
      <w:r>
        <w:rPr>
          <w:rFonts w:hint="default" w:ascii="Times New Roman" w:hAnsi="Times New Roman" w:eastAsia="方正仿宋_GBK" w:cs="Times New Roman"/>
          <w:sz w:val="32"/>
          <w:szCs w:val="32"/>
          <w:lang w:val="zh-CN" w:eastAsia="zh-CN" w:bidi="ar-SA"/>
        </w:rPr>
        <w:t>（</w:t>
      </w:r>
      <w:r>
        <w:rPr>
          <w:rFonts w:hint="default" w:ascii="Times New Roman" w:hAnsi="Times New Roman" w:eastAsia="方正仿宋_GBK" w:cs="Times New Roman"/>
          <w:sz w:val="32"/>
          <w:szCs w:val="32"/>
          <w:lang w:val="en-US" w:eastAsia="zh-CN" w:bidi="ar-SA"/>
        </w:rPr>
        <w:t>3</w:t>
      </w:r>
      <w:r>
        <w:rPr>
          <w:rFonts w:hint="default" w:ascii="Times New Roman" w:hAnsi="Times New Roman" w:eastAsia="方正仿宋_GBK" w:cs="Times New Roman"/>
          <w:sz w:val="32"/>
          <w:szCs w:val="32"/>
          <w:lang w:val="zh-CN" w:eastAsia="zh-CN" w:bidi="ar-SA"/>
        </w:rPr>
        <w:t>）实现效果上，部门预算阶段项目（含一次性项目）均已完成绩效目标效益指标。</w:t>
      </w:r>
    </w:p>
    <w:p w14:paraId="33018EDF">
      <w:pPr>
        <w:keepNext w:val="0"/>
        <w:keepLines w:val="0"/>
        <w:pageBreakBefore w:val="0"/>
        <w:widowControl w:val="0"/>
        <w:kinsoku/>
        <w:wordWrap/>
        <w:overflowPunct/>
        <w:topLinePunct w:val="0"/>
        <w:autoSpaceDE/>
        <w:autoSpaceDN/>
        <w:bidi w:val="0"/>
        <w:spacing w:line="240" w:lineRule="auto"/>
        <w:ind w:firstLine="643" w:firstLineChars="200"/>
        <w:textAlignment w:val="auto"/>
        <w:rPr>
          <w:rFonts w:hint="default" w:ascii="Times New Roman" w:hAnsi="Times New Roman" w:eastAsia="方正仿宋_GBK" w:cs="Times New Roman"/>
          <w:sz w:val="32"/>
          <w:szCs w:val="32"/>
          <w:lang w:val="zh-CN" w:eastAsia="zh-CN" w:bidi="ar-SA"/>
        </w:rPr>
      </w:pPr>
      <w:r>
        <w:rPr>
          <w:rFonts w:hint="default" w:ascii="Times New Roman" w:hAnsi="Times New Roman" w:eastAsia="方正仿宋_GBK" w:cs="Times New Roman"/>
          <w:b/>
          <w:bCs/>
          <w:sz w:val="32"/>
          <w:szCs w:val="32"/>
          <w:lang w:val="zh-CN" w:eastAsia="zh-CN" w:bidi="ar-SA"/>
        </w:rPr>
        <w:t>202</w:t>
      </w:r>
      <w:r>
        <w:rPr>
          <w:rFonts w:hint="eastAsia" w:eastAsia="方正仿宋_GBK" w:cs="Times New Roman"/>
          <w:b/>
          <w:bCs/>
          <w:sz w:val="32"/>
          <w:szCs w:val="32"/>
          <w:lang w:val="en-US" w:eastAsia="zh-CN" w:bidi="ar-SA"/>
        </w:rPr>
        <w:t>5</w:t>
      </w:r>
      <w:r>
        <w:rPr>
          <w:rFonts w:hint="default" w:ascii="Times New Roman" w:hAnsi="Times New Roman" w:eastAsia="方正仿宋_GBK" w:cs="Times New Roman"/>
          <w:sz w:val="32"/>
          <w:szCs w:val="32"/>
          <w:lang w:val="zh-CN" w:eastAsia="zh-CN" w:bidi="ar-SA"/>
        </w:rPr>
        <w:t>年度一般公共预算安排的常年项目、阶段项目绩效目标</w:t>
      </w:r>
      <w:r>
        <w:rPr>
          <w:rFonts w:hint="default" w:ascii="Times New Roman" w:hAnsi="Times New Roman" w:eastAsia="方正仿宋_GBK" w:cs="Times New Roman"/>
          <w:sz w:val="32"/>
          <w:szCs w:val="32"/>
          <w:lang w:val="en-US" w:eastAsia="zh-CN" w:bidi="ar-SA"/>
        </w:rPr>
        <w:t>均已完成</w:t>
      </w:r>
      <w:r>
        <w:rPr>
          <w:rFonts w:hint="default" w:ascii="Times New Roman" w:hAnsi="Times New Roman" w:eastAsia="方正仿宋_GBK" w:cs="Times New Roman"/>
          <w:sz w:val="32"/>
          <w:szCs w:val="32"/>
          <w:lang w:val="zh-CN" w:eastAsia="zh-CN" w:bidi="ar-SA"/>
        </w:rPr>
        <w:t>，</w:t>
      </w:r>
      <w:r>
        <w:rPr>
          <w:rFonts w:hint="default" w:ascii="Times New Roman" w:hAnsi="Times New Roman" w:eastAsia="方正仿宋_GBK" w:cs="Times New Roman"/>
          <w:sz w:val="32"/>
          <w:szCs w:val="32"/>
          <w:lang w:val="en-US" w:eastAsia="zh-CN" w:bidi="ar-SA"/>
        </w:rPr>
        <w:t>不涉及</w:t>
      </w:r>
      <w:r>
        <w:rPr>
          <w:rFonts w:hint="default" w:ascii="Times New Roman" w:hAnsi="Times New Roman" w:eastAsia="方正仿宋_GBK" w:cs="Times New Roman"/>
          <w:sz w:val="32"/>
          <w:szCs w:val="32"/>
          <w:lang w:val="zh-CN" w:eastAsia="zh-CN" w:bidi="ar-SA"/>
        </w:rPr>
        <w:t>债券资金、政府购买服务。</w:t>
      </w:r>
    </w:p>
    <w:p w14:paraId="77728A1A">
      <w:pPr>
        <w:keepNext w:val="0"/>
        <w:keepLines w:val="0"/>
        <w:pageBreakBefore w:val="0"/>
        <w:widowControl w:val="0"/>
        <w:kinsoku/>
        <w:wordWrap/>
        <w:overflowPunct/>
        <w:topLinePunct w:val="0"/>
        <w:autoSpaceDE/>
        <w:autoSpaceDN/>
        <w:bidi w:val="0"/>
        <w:spacing w:line="240" w:lineRule="auto"/>
        <w:ind w:firstLine="643" w:firstLineChars="200"/>
        <w:textAlignment w:val="auto"/>
        <w:rPr>
          <w:rFonts w:hint="default" w:ascii="Times New Roman" w:hAnsi="Times New Roman" w:eastAsia="方正仿宋_GBK" w:cs="Times New Roman"/>
          <w:b/>
          <w:bCs/>
          <w:sz w:val="32"/>
          <w:szCs w:val="32"/>
          <w:lang w:val="zh-CN" w:eastAsia="zh-CN" w:bidi="ar-SA"/>
        </w:rPr>
      </w:pPr>
      <w:r>
        <w:rPr>
          <w:rFonts w:hint="default" w:ascii="Times New Roman" w:hAnsi="Times New Roman" w:eastAsia="方正仿宋_GBK" w:cs="Times New Roman"/>
          <w:b/>
          <w:bCs/>
          <w:sz w:val="32"/>
          <w:szCs w:val="32"/>
          <w:lang w:val="zh-CN" w:eastAsia="zh-CN" w:bidi="ar-SA"/>
        </w:rPr>
        <w:t>（三）绩效结果应用情况。</w:t>
      </w:r>
    </w:p>
    <w:p w14:paraId="35E66E75">
      <w:pPr>
        <w:keepNext w:val="0"/>
        <w:keepLines w:val="0"/>
        <w:pageBreakBefore w:val="0"/>
        <w:widowControl w:val="0"/>
        <w:kinsoku/>
        <w:wordWrap/>
        <w:overflowPunct/>
        <w:topLinePunct w:val="0"/>
        <w:autoSpaceDE/>
        <w:autoSpaceDN/>
        <w:bidi w:val="0"/>
        <w:spacing w:line="240" w:lineRule="auto"/>
        <w:ind w:firstLine="643" w:firstLineChars="200"/>
        <w:textAlignment w:val="auto"/>
        <w:rPr>
          <w:rFonts w:hint="default" w:ascii="Times New Roman" w:hAnsi="Times New Roman" w:eastAsia="方正仿宋_GBK" w:cs="Times New Roman"/>
          <w:sz w:val="32"/>
          <w:szCs w:val="32"/>
          <w:lang w:val="zh-CN" w:eastAsia="zh-CN" w:bidi="ar-SA"/>
        </w:rPr>
      </w:pPr>
      <w:r>
        <w:rPr>
          <w:rFonts w:hint="default" w:ascii="Times New Roman" w:hAnsi="Times New Roman" w:eastAsia="方正仿宋_GBK" w:cs="Times New Roman"/>
          <w:b/>
          <w:bCs/>
          <w:sz w:val="32"/>
          <w:szCs w:val="32"/>
          <w:lang w:val="zh-CN" w:eastAsia="zh-CN" w:bidi="ar-SA"/>
        </w:rPr>
        <w:t>1.内部应用。</w:t>
      </w:r>
      <w:r>
        <w:rPr>
          <w:rFonts w:hint="default" w:ascii="Times New Roman" w:hAnsi="Times New Roman" w:eastAsia="方正仿宋_GBK" w:cs="Times New Roman"/>
          <w:sz w:val="32"/>
          <w:szCs w:val="32"/>
          <w:lang w:val="zh-CN" w:eastAsia="zh-CN" w:bidi="ar-SA"/>
        </w:rPr>
        <w:t>在预算事前绩效评估、绩效监控和自评结果应用的基础上，将项目绩效目标结果与预算安排相结合，积极督促各室（部）履行绩效管理主体责任，提高绩效目标编报质量。</w:t>
      </w:r>
    </w:p>
    <w:p w14:paraId="65A9DC75">
      <w:pPr>
        <w:keepNext w:val="0"/>
        <w:keepLines w:val="0"/>
        <w:pageBreakBefore w:val="0"/>
        <w:widowControl w:val="0"/>
        <w:kinsoku/>
        <w:wordWrap/>
        <w:overflowPunct/>
        <w:topLinePunct w:val="0"/>
        <w:autoSpaceDE/>
        <w:autoSpaceDN/>
        <w:bidi w:val="0"/>
        <w:spacing w:line="240" w:lineRule="auto"/>
        <w:ind w:firstLine="643" w:firstLineChars="200"/>
        <w:textAlignment w:val="auto"/>
        <w:rPr>
          <w:rFonts w:hint="default" w:ascii="Times New Roman" w:hAnsi="Times New Roman" w:eastAsia="方正仿宋_GBK" w:cs="Times New Roman"/>
          <w:sz w:val="32"/>
          <w:szCs w:val="32"/>
          <w:lang w:val="zh-CN" w:eastAsia="zh-CN" w:bidi="ar-SA"/>
        </w:rPr>
      </w:pPr>
      <w:r>
        <w:rPr>
          <w:rFonts w:hint="default" w:ascii="Times New Roman" w:hAnsi="Times New Roman" w:eastAsia="方正仿宋_GBK" w:cs="Times New Roman"/>
          <w:b/>
          <w:bCs/>
          <w:sz w:val="32"/>
          <w:szCs w:val="32"/>
          <w:lang w:val="zh-CN" w:eastAsia="zh-CN" w:bidi="ar-SA"/>
        </w:rPr>
        <w:t>2.信息公开。</w:t>
      </w:r>
      <w:r>
        <w:rPr>
          <w:rFonts w:hint="default" w:ascii="Times New Roman" w:hAnsi="Times New Roman" w:eastAsia="方正仿宋_GBK" w:cs="Times New Roman"/>
          <w:sz w:val="32"/>
          <w:szCs w:val="32"/>
          <w:lang w:val="zh-CN" w:eastAsia="zh-CN" w:bidi="ar-SA"/>
        </w:rPr>
        <w:t>按照相关要求，本部门在规定时限内在门户网站上公开了部门预决算信息、“三公经费”信息等情况，主动接受社会监督。</w:t>
      </w:r>
    </w:p>
    <w:p w14:paraId="5F00581C">
      <w:pPr>
        <w:keepNext w:val="0"/>
        <w:keepLines w:val="0"/>
        <w:pageBreakBefore w:val="0"/>
        <w:widowControl w:val="0"/>
        <w:kinsoku/>
        <w:wordWrap/>
        <w:overflowPunct/>
        <w:topLinePunct w:val="0"/>
        <w:autoSpaceDE/>
        <w:autoSpaceDN/>
        <w:bidi w:val="0"/>
        <w:spacing w:line="240" w:lineRule="auto"/>
        <w:ind w:firstLine="643" w:firstLineChars="200"/>
        <w:textAlignment w:val="auto"/>
        <w:rPr>
          <w:rFonts w:hint="default" w:ascii="Times New Roman" w:hAnsi="Times New Roman" w:eastAsia="仿宋_GB2312" w:cs="仿宋_GB2312"/>
          <w:color w:val="auto"/>
          <w:kern w:val="2"/>
          <w:sz w:val="32"/>
          <w:szCs w:val="32"/>
          <w:highlight w:val="none"/>
          <w:lang w:val="en-US" w:eastAsia="zh-CN" w:bidi="ar-SA"/>
        </w:rPr>
      </w:pPr>
      <w:r>
        <w:rPr>
          <w:rFonts w:hint="default" w:ascii="Times New Roman" w:hAnsi="Times New Roman" w:eastAsia="方正仿宋_GBK" w:cs="Times New Roman"/>
          <w:b/>
          <w:bCs/>
          <w:sz w:val="32"/>
          <w:szCs w:val="32"/>
          <w:lang w:val="zh-CN" w:eastAsia="zh-CN" w:bidi="ar-SA"/>
        </w:rPr>
        <w:t>3.整改反馈情况。</w:t>
      </w:r>
      <w:r>
        <w:rPr>
          <w:rFonts w:hint="default" w:ascii="Times New Roman" w:hAnsi="Times New Roman" w:eastAsia="方正仿宋_GBK" w:cs="Times New Roman"/>
          <w:sz w:val="32"/>
          <w:szCs w:val="32"/>
          <w:lang w:val="zh-CN" w:eastAsia="zh-CN" w:bidi="ar-SA"/>
        </w:rPr>
        <w:t>通过</w:t>
      </w:r>
      <w:r>
        <w:rPr>
          <w:rFonts w:hint="default" w:ascii="Times New Roman" w:hAnsi="Times New Roman" w:eastAsia="方正仿宋_GBK" w:cs="Times New Roman"/>
          <w:b/>
          <w:bCs/>
          <w:sz w:val="32"/>
          <w:szCs w:val="32"/>
          <w:lang w:val="zh-CN" w:eastAsia="zh-CN" w:bidi="ar-SA"/>
        </w:rPr>
        <w:t>202</w:t>
      </w:r>
      <w:r>
        <w:rPr>
          <w:rFonts w:hint="eastAsia" w:eastAsia="方正仿宋_GBK" w:cs="Times New Roman"/>
          <w:b/>
          <w:bCs/>
          <w:sz w:val="32"/>
          <w:szCs w:val="32"/>
          <w:lang w:val="en-US" w:eastAsia="zh-CN" w:bidi="ar-SA"/>
        </w:rPr>
        <w:t>5</w:t>
      </w:r>
      <w:r>
        <w:rPr>
          <w:rFonts w:hint="default" w:ascii="Times New Roman" w:hAnsi="Times New Roman" w:eastAsia="方正仿宋_GBK" w:cs="Times New Roman"/>
          <w:sz w:val="32"/>
          <w:szCs w:val="32"/>
          <w:lang w:val="zh-CN" w:eastAsia="zh-CN" w:bidi="ar-SA"/>
        </w:rPr>
        <w:t>年度绩效自评工作，全面掌握部门整体支出情况存在的问题，我们将不断加强内部管理，</w:t>
      </w:r>
      <w:r>
        <w:rPr>
          <w:rFonts w:hint="default" w:ascii="Times New Roman" w:hAnsi="Times New Roman" w:eastAsia="方正仿宋_GBK" w:cs="Times New Roman"/>
          <w:sz w:val="32"/>
          <w:szCs w:val="32"/>
          <w:lang w:bidi="ar-SA"/>
        </w:rPr>
        <w:t>严格按照部门预算进行部门整体支出，涉及“三重一大”事项全部经过市纪委常委会、书记办公会审议，依据相应的资金管理办法切实做到了项目资金专项专用，无截留、无挪用等违规现象，</w:t>
      </w:r>
      <w:r>
        <w:rPr>
          <w:rFonts w:hint="default" w:ascii="Times New Roman" w:hAnsi="Times New Roman" w:eastAsia="方正仿宋_GBK" w:cs="Times New Roman"/>
          <w:sz w:val="32"/>
          <w:szCs w:val="32"/>
          <w:lang w:val="zh-CN" w:eastAsia="zh-CN" w:bidi="ar-SA"/>
        </w:rPr>
        <w:t>切实提高财政资金使用效益。</w:t>
      </w:r>
    </w:p>
    <w:p w14:paraId="4A77218C">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firstLine="640" w:firstLineChars="200"/>
        <w:contextualSpacing/>
        <w:jc w:val="left"/>
        <w:textAlignment w:val="auto"/>
        <w:outlineLvl w:val="9"/>
        <w:rPr>
          <w:rFonts w:hint="default" w:ascii="Times New Roman" w:hAnsi="Times New Roman" w:eastAsia="黑体" w:cs="Times New Roman"/>
          <w:color w:val="000000"/>
          <w:kern w:val="0"/>
          <w:sz w:val="32"/>
          <w:szCs w:val="32"/>
          <w:highlight w:val="none"/>
          <w:shd w:val="clear" w:color="auto" w:fill="FFFFFF"/>
          <w:lang w:val="zh-CN"/>
        </w:rPr>
      </w:pPr>
      <w:r>
        <w:rPr>
          <w:rFonts w:hint="default" w:ascii="Times New Roman" w:hAnsi="Times New Roman" w:eastAsia="黑体" w:cs="Times New Roman"/>
          <w:color w:val="000000"/>
          <w:kern w:val="0"/>
          <w:sz w:val="32"/>
          <w:szCs w:val="32"/>
          <w:highlight w:val="none"/>
          <w:shd w:val="clear" w:color="auto" w:fill="FFFFFF"/>
          <w:lang w:val="zh-CN" w:eastAsia="zh-CN"/>
        </w:rPr>
        <w:t>四、</w:t>
      </w:r>
      <w:r>
        <w:rPr>
          <w:rFonts w:hint="default" w:ascii="Times New Roman" w:hAnsi="Times New Roman" w:eastAsia="黑体" w:cs="Times New Roman"/>
          <w:color w:val="000000"/>
          <w:kern w:val="0"/>
          <w:sz w:val="32"/>
          <w:szCs w:val="32"/>
          <w:highlight w:val="none"/>
          <w:shd w:val="clear" w:color="auto" w:fill="FFFFFF"/>
          <w:lang w:val="zh-CN"/>
        </w:rPr>
        <w:t>评价结论及建议</w:t>
      </w:r>
    </w:p>
    <w:p w14:paraId="06FBFDDC">
      <w:pPr>
        <w:keepNext w:val="0"/>
        <w:keepLines w:val="0"/>
        <w:pageBreakBefore w:val="0"/>
        <w:widowControl w:val="0"/>
        <w:kinsoku/>
        <w:wordWrap/>
        <w:overflowPunct/>
        <w:topLinePunct w:val="0"/>
        <w:autoSpaceDE/>
        <w:autoSpaceDN/>
        <w:bidi w:val="0"/>
        <w:spacing w:line="240" w:lineRule="auto"/>
        <w:ind w:firstLine="643" w:firstLineChars="200"/>
        <w:textAlignment w:val="auto"/>
        <w:rPr>
          <w:rFonts w:hint="eastAsia" w:ascii="方正楷体_GBK" w:hAnsi="方正楷体_GBK" w:eastAsia="方正楷体_GBK" w:cs="方正楷体_GBK"/>
          <w:b/>
          <w:bCs/>
          <w:sz w:val="32"/>
          <w:szCs w:val="32"/>
          <w:lang w:val="zh-CN" w:eastAsia="zh-CN" w:bidi="ar-SA"/>
        </w:rPr>
      </w:pPr>
      <w:r>
        <w:rPr>
          <w:rFonts w:hint="eastAsia" w:ascii="方正楷体_GBK" w:hAnsi="方正楷体_GBK" w:eastAsia="方正楷体_GBK" w:cs="方正楷体_GBK"/>
          <w:b/>
          <w:bCs/>
          <w:sz w:val="32"/>
          <w:szCs w:val="32"/>
          <w:lang w:val="zh-CN" w:eastAsia="zh-CN" w:bidi="ar-SA"/>
        </w:rPr>
        <w:t>（一）评价结论</w:t>
      </w:r>
    </w:p>
    <w:p w14:paraId="3F74F839">
      <w:pPr>
        <w:keepNext w:val="0"/>
        <w:keepLines w:val="0"/>
        <w:pageBreakBefore w:val="0"/>
        <w:widowControl w:val="0"/>
        <w:kinsoku/>
        <w:wordWrap/>
        <w:overflowPunct/>
        <w:topLinePunct w:val="0"/>
        <w:autoSpaceDE/>
        <w:autoSpaceDN/>
        <w:bidi w:val="0"/>
        <w:spacing w:line="240" w:lineRule="auto"/>
        <w:ind w:firstLine="640" w:firstLineChars="20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我部门整体（含部门预算项目）绩效自评得分为</w:t>
      </w:r>
      <w:r>
        <w:rPr>
          <w:rFonts w:hint="eastAsia" w:eastAsia="方正仿宋_GBK" w:cs="Times New Roman"/>
          <w:b/>
          <w:bCs/>
          <w:sz w:val="32"/>
          <w:szCs w:val="32"/>
          <w:lang w:val="en-US" w:eastAsia="zh-CN" w:bidi="ar-SA"/>
        </w:rPr>
        <w:t>92.18</w:t>
      </w:r>
      <w:r>
        <w:rPr>
          <w:rFonts w:hint="default" w:ascii="Times New Roman" w:hAnsi="Times New Roman" w:eastAsia="方正仿宋_GBK" w:cs="Times New Roman"/>
          <w:sz w:val="32"/>
          <w:szCs w:val="32"/>
          <w:lang w:val="en-US" w:eastAsia="zh-CN" w:bidi="ar-SA"/>
        </w:rPr>
        <w:t>分</w:t>
      </w:r>
      <w:r>
        <w:rPr>
          <w:rFonts w:hint="eastAsia" w:eastAsia="方正仿宋_GBK" w:cs="Times New Roman"/>
          <w:sz w:val="32"/>
          <w:szCs w:val="32"/>
          <w:lang w:val="en-US" w:eastAsia="zh-CN" w:bidi="ar-SA"/>
        </w:rPr>
        <w:t>。在省纪委监委和市委的坚强领导下，全市纪检监察系统坚定拥护“两个确立”、坚决做到“两个维护”，擎监督利剑、涤痼疾沉疴、护民生福祉，在攀枝花波澜壮阔的共富实践中，镌刻下全面从严治党的深刻印迹，奏响了“廉洁攀枝花”建设的时代强音。创新搭建的“五主”群众诉求服务平台入选中央和国家机关工位“第五届党建创新成果优秀案例”，成功承办全省“有事找纪检·解决靠组织”现场会，《阳光问廉》专题栏目入选全省网络法制宣传十大优秀案例，纪检监察工作高质量发展取得引领下成果，为全市经济社会发展大局提供了坚强纪律保障。</w:t>
      </w:r>
    </w:p>
    <w:p w14:paraId="08D8E8C4">
      <w:pPr>
        <w:keepNext w:val="0"/>
        <w:keepLines w:val="0"/>
        <w:pageBreakBefore w:val="0"/>
        <w:widowControl w:val="0"/>
        <w:numPr>
          <w:ilvl w:val="0"/>
          <w:numId w:val="2"/>
        </w:numPr>
        <w:kinsoku/>
        <w:wordWrap/>
        <w:overflowPunct/>
        <w:topLinePunct w:val="0"/>
        <w:autoSpaceDE/>
        <w:autoSpaceDN/>
        <w:bidi w:val="0"/>
        <w:spacing w:line="240" w:lineRule="auto"/>
        <w:ind w:firstLine="643" w:firstLineChars="200"/>
        <w:textAlignment w:val="auto"/>
        <w:rPr>
          <w:rFonts w:hint="default" w:ascii="方正楷体_GBK" w:hAnsi="方正楷体_GBK" w:eastAsia="方正楷体_GBK" w:cs="方正楷体_GBK"/>
          <w:b/>
          <w:bCs/>
          <w:sz w:val="32"/>
          <w:szCs w:val="32"/>
          <w:lang w:val="zh-CN" w:eastAsia="zh-CN" w:bidi="ar-SA"/>
        </w:rPr>
      </w:pPr>
      <w:r>
        <w:rPr>
          <w:rFonts w:hint="default" w:ascii="方正楷体_GBK" w:hAnsi="方正楷体_GBK" w:eastAsia="方正楷体_GBK" w:cs="方正楷体_GBK"/>
          <w:b/>
          <w:bCs/>
          <w:sz w:val="32"/>
          <w:szCs w:val="32"/>
          <w:lang w:val="zh-CN" w:eastAsia="zh-CN" w:bidi="ar-SA"/>
        </w:rPr>
        <w:t>存在问题</w:t>
      </w:r>
    </w:p>
    <w:p w14:paraId="7D1855EC">
      <w:pPr>
        <w:keepNext w:val="0"/>
        <w:keepLines w:val="0"/>
        <w:pageBreakBefore w:val="0"/>
        <w:widowControl w:val="0"/>
        <w:numPr>
          <w:ilvl w:val="0"/>
          <w:numId w:val="0"/>
        </w:numPr>
        <w:kinsoku/>
        <w:wordWrap/>
        <w:overflowPunct/>
        <w:topLinePunct w:val="0"/>
        <w:autoSpaceDE/>
        <w:autoSpaceDN/>
        <w:bidi w:val="0"/>
        <w:spacing w:line="240" w:lineRule="auto"/>
        <w:ind w:firstLine="640" w:firstLineChars="200"/>
        <w:textAlignment w:val="auto"/>
        <w:rPr>
          <w:rFonts w:hint="default" w:ascii="Times New Roman" w:hAnsi="Times New Roman" w:eastAsia="方正仿宋_GBK" w:cs="Times New Roman"/>
          <w:sz w:val="32"/>
          <w:szCs w:val="32"/>
          <w:lang w:val="en-US" w:eastAsia="zh-CN" w:bidi="ar-SA"/>
        </w:rPr>
      </w:pPr>
      <w:r>
        <w:rPr>
          <w:rFonts w:hint="default" w:ascii="Times New Roman" w:hAnsi="Times New Roman" w:eastAsia="方正仿宋_GBK" w:cs="Times New Roman"/>
          <w:sz w:val="32"/>
          <w:szCs w:val="32"/>
          <w:lang w:val="en-US" w:eastAsia="zh-CN" w:bidi="ar-SA"/>
        </w:rPr>
        <w:t>在进行</w:t>
      </w:r>
      <w:r>
        <w:rPr>
          <w:rFonts w:hint="default" w:ascii="Times New Roman" w:hAnsi="Times New Roman" w:eastAsia="方正仿宋_GBK" w:cs="Times New Roman"/>
          <w:sz w:val="32"/>
          <w:szCs w:val="32"/>
          <w:lang w:val="zh-CN" w:eastAsia="zh-CN" w:bidi="ar-SA"/>
        </w:rPr>
        <w:t>部门预算绩效自评</w:t>
      </w:r>
      <w:r>
        <w:rPr>
          <w:rFonts w:hint="default" w:ascii="Times New Roman" w:hAnsi="Times New Roman" w:eastAsia="方正仿宋_GBK" w:cs="Times New Roman"/>
          <w:sz w:val="32"/>
          <w:szCs w:val="32"/>
          <w:lang w:val="en-US" w:eastAsia="zh-CN" w:bidi="ar-SA"/>
        </w:rPr>
        <w:t>时</w:t>
      </w:r>
      <w:r>
        <w:rPr>
          <w:rFonts w:hint="eastAsia" w:ascii="Times New Roman" w:hAnsi="Times New Roman" w:eastAsia="方正仿宋_GBK" w:cs="Times New Roman"/>
          <w:sz w:val="32"/>
          <w:szCs w:val="32"/>
          <w:lang w:val="en-US" w:eastAsia="zh-CN" w:bidi="ar-SA"/>
        </w:rPr>
        <w:t>，存在</w:t>
      </w:r>
      <w:r>
        <w:rPr>
          <w:rFonts w:hint="default" w:ascii="Times New Roman" w:hAnsi="Times New Roman" w:eastAsia="方正仿宋_GBK" w:cs="Times New Roman"/>
          <w:sz w:val="32"/>
          <w:szCs w:val="32"/>
          <w:lang w:val="zh-CN" w:eastAsia="zh-CN" w:bidi="ar-SA"/>
        </w:rPr>
        <w:t>绩效目标细化量化不够、</w:t>
      </w:r>
      <w:r>
        <w:rPr>
          <w:rFonts w:hint="default" w:ascii="Times New Roman" w:hAnsi="Times New Roman" w:eastAsia="方正仿宋_GBK" w:cs="Times New Roman"/>
          <w:sz w:val="32"/>
          <w:szCs w:val="32"/>
          <w:lang w:val="en-US" w:eastAsia="zh-CN" w:bidi="ar-SA"/>
        </w:rPr>
        <w:t>结果应用不足、绩效经办人员能力不足的问题。</w:t>
      </w:r>
    </w:p>
    <w:p w14:paraId="184F0CBA">
      <w:pPr>
        <w:keepNext w:val="0"/>
        <w:keepLines w:val="0"/>
        <w:pageBreakBefore w:val="0"/>
        <w:widowControl w:val="0"/>
        <w:kinsoku/>
        <w:wordWrap/>
        <w:overflowPunct/>
        <w:topLinePunct w:val="0"/>
        <w:autoSpaceDE/>
        <w:autoSpaceDN/>
        <w:bidi w:val="0"/>
        <w:spacing w:line="240" w:lineRule="auto"/>
        <w:ind w:firstLine="643" w:firstLineChars="200"/>
        <w:textAlignment w:val="auto"/>
        <w:rPr>
          <w:rFonts w:hint="default" w:ascii="方正楷体_GBK" w:hAnsi="方正楷体_GBK" w:eastAsia="方正楷体_GBK" w:cs="方正楷体_GBK"/>
          <w:b/>
          <w:bCs/>
          <w:sz w:val="32"/>
          <w:szCs w:val="32"/>
          <w:lang w:val="zh-CN" w:eastAsia="zh-CN" w:bidi="ar-SA"/>
        </w:rPr>
      </w:pPr>
      <w:r>
        <w:rPr>
          <w:rFonts w:hint="default" w:ascii="方正楷体_GBK" w:hAnsi="方正楷体_GBK" w:eastAsia="方正楷体_GBK" w:cs="方正楷体_GBK"/>
          <w:b/>
          <w:bCs/>
          <w:sz w:val="32"/>
          <w:szCs w:val="32"/>
          <w:lang w:val="zh-CN" w:eastAsia="zh-CN" w:bidi="ar-SA"/>
        </w:rPr>
        <w:t>（三）改进建议</w:t>
      </w:r>
    </w:p>
    <w:p w14:paraId="43E3CB26">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eastAsia" w:ascii="方正仿宋_GBK" w:hAnsi="方正仿宋_GBK" w:eastAsia="方正仿宋_GBK" w:cs="方正仿宋_GBK"/>
          <w:kern w:val="2"/>
          <w:sz w:val="32"/>
          <w:szCs w:val="32"/>
          <w:u w:val="none"/>
          <w:lang w:val="zh-CN" w:eastAsia="zh-CN" w:bidi="ar"/>
        </w:rPr>
      </w:pPr>
      <w:r>
        <w:rPr>
          <w:rFonts w:hint="eastAsia" w:ascii="方正仿宋_GBK" w:hAnsi="方正仿宋_GBK" w:eastAsia="方正仿宋_GBK" w:cs="方正仿宋_GBK"/>
          <w:kern w:val="2"/>
          <w:sz w:val="32"/>
          <w:szCs w:val="32"/>
          <w:u w:val="none"/>
          <w:lang w:val="zh-CN" w:eastAsia="zh-CN" w:bidi="ar"/>
        </w:rPr>
        <w:t>进一步压实绩效管理主体责任，严格执行预算绩效管理一体化工作要求，推动绩效管控深度嵌入预算编制、执行、监督全流程。持续强化纪律意识，加强业务能力提升。针对工作创新不足、精细化管理水平不高等问题，着力补齐短板，优化管理举措，不断提升预算绩效管理质效。</w:t>
      </w:r>
    </w:p>
    <w:p w14:paraId="2B988813">
      <w:pPr>
        <w:pStyle w:val="3"/>
        <w:keepNext w:val="0"/>
        <w:keepLines w:val="0"/>
        <w:pageBreakBefore w:val="0"/>
        <w:numPr>
          <w:ilvl w:val="0"/>
          <w:numId w:val="0"/>
        </w:numPr>
        <w:kinsoku/>
        <w:wordWrap/>
        <w:overflowPunct/>
        <w:topLinePunct w:val="0"/>
        <w:autoSpaceDE/>
        <w:autoSpaceDN/>
        <w:bidi w:val="0"/>
        <w:spacing w:line="560" w:lineRule="exact"/>
        <w:ind w:firstLine="640" w:firstLineChars="200"/>
        <w:textAlignment w:val="auto"/>
        <w:rPr>
          <w:rFonts w:hint="default" w:ascii="Times New Roman" w:hAnsi="Times New Roman" w:eastAsia="方正仿宋_GBK" w:cs="Times New Roman"/>
          <w:kern w:val="2"/>
          <w:sz w:val="32"/>
          <w:szCs w:val="32"/>
          <w:u w:val="none"/>
          <w:lang w:val="zh-CN" w:eastAsia="zh-CN" w:bidi="ar"/>
        </w:rPr>
      </w:pPr>
      <w:r>
        <w:rPr>
          <w:rFonts w:hint="default" w:ascii="Times New Roman" w:hAnsi="Times New Roman" w:eastAsia="方正仿宋_GBK" w:cs="Times New Roman"/>
          <w:kern w:val="2"/>
          <w:sz w:val="32"/>
          <w:szCs w:val="32"/>
          <w:u w:val="none"/>
          <w:lang w:val="zh-CN" w:eastAsia="zh-CN" w:bidi="ar"/>
        </w:rPr>
        <w:t>附表：</w:t>
      </w:r>
      <w:r>
        <w:rPr>
          <w:rFonts w:hint="default" w:ascii="Times New Roman" w:hAnsi="Times New Roman" w:eastAsia="方正仿宋_GBK" w:cs="Times New Roman"/>
          <w:kern w:val="2"/>
          <w:sz w:val="32"/>
          <w:szCs w:val="32"/>
          <w:u w:val="none"/>
          <w:lang w:val="en-US" w:eastAsia="zh-CN" w:bidi="ar"/>
        </w:rPr>
        <w:t>部门预算项目支出绩效自评表（2025年度）</w:t>
      </w:r>
    </w:p>
    <w:p w14:paraId="35BCBCC1">
      <w:pPr>
        <w:pStyle w:val="3"/>
        <w:keepNext w:val="0"/>
        <w:keepLines w:val="0"/>
        <w:pageBreakBefore w:val="0"/>
        <w:numPr>
          <w:ilvl w:val="0"/>
          <w:numId w:val="0"/>
        </w:numPr>
        <w:kinsoku/>
        <w:wordWrap/>
        <w:overflowPunct/>
        <w:topLinePunct w:val="0"/>
        <w:autoSpaceDE/>
        <w:autoSpaceDN/>
        <w:bidi w:val="0"/>
        <w:spacing w:line="560" w:lineRule="exact"/>
        <w:textAlignment w:val="auto"/>
        <w:rPr>
          <w:rFonts w:hint="eastAsia" w:ascii="Times New Roman" w:hAnsi="Times New Roman" w:cs="Times New Roman"/>
          <w:sz w:val="32"/>
          <w:szCs w:val="32"/>
          <w:highlight w:val="yellow"/>
          <w:lang w:val="zh-CN" w:eastAsia="zh-CN"/>
        </w:rPr>
      </w:pPr>
    </w:p>
    <w:p w14:paraId="794B9A4E">
      <w:pPr>
        <w:pStyle w:val="10"/>
        <w:rPr>
          <w:rFonts w:hint="eastAsia" w:ascii="Times New Roman" w:hAnsi="Times New Roman" w:cs="宋体"/>
          <w:color w:val="FF0000"/>
          <w:kern w:val="0"/>
          <w:sz w:val="32"/>
          <w:szCs w:val="32"/>
          <w:highlight w:val="yellow"/>
          <w:shd w:val="clear" w:color="auto" w:fill="FFFFFF"/>
          <w:lang w:val="zh-CN"/>
        </w:rPr>
      </w:pPr>
    </w:p>
    <w:p w14:paraId="41E94689">
      <w:pPr>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黑体" w:cs="黑体"/>
          <w:color w:val="auto"/>
          <w:kern w:val="0"/>
          <w:sz w:val="32"/>
          <w:szCs w:val="32"/>
          <w:highlight w:val="none"/>
          <w:shd w:val="clear" w:color="auto" w:fill="FFFFFF"/>
          <w:lang w:val="zh-CN"/>
        </w:rPr>
        <w:br w:type="page"/>
      </w:r>
      <w:bookmarkStart w:id="81" w:name="_Toc15396618"/>
    </w:p>
    <w:p w14:paraId="7656B7D1">
      <w:pPr>
        <w:widowControl/>
        <w:jc w:val="center"/>
        <w:outlineLvl w:val="0"/>
        <w:rPr>
          <w:rFonts w:hint="eastAsia" w:ascii="Times New Roman" w:hAnsi="Times New Roman" w:eastAsia="仿宋"/>
          <w:b w:val="0"/>
          <w:color w:val="auto"/>
          <w:highlight w:val="none"/>
        </w:rPr>
      </w:pPr>
      <w:bookmarkStart w:id="82" w:name="_Toc13666"/>
      <w:r>
        <w:rPr>
          <w:rFonts w:hint="eastAsia" w:ascii="Times New Roman" w:hAnsi="Times New Roman" w:eastAsia="黑体"/>
          <w:color w:val="auto"/>
          <w:sz w:val="44"/>
          <w:szCs w:val="44"/>
          <w:highlight w:val="none"/>
        </w:rPr>
        <w:t>第</w:t>
      </w:r>
      <w:r>
        <w:rPr>
          <w:rStyle w:val="30"/>
          <w:rFonts w:hint="eastAsia" w:ascii="Times New Roman" w:hAnsi="Times New Roman" w:eastAsia="黑体"/>
          <w:b w:val="0"/>
          <w:color w:val="auto"/>
          <w:highlight w:val="none"/>
        </w:rPr>
        <w:t>五部分 附表</w:t>
      </w:r>
      <w:bookmarkEnd w:id="78"/>
      <w:bookmarkEnd w:id="81"/>
      <w:bookmarkEnd w:id="82"/>
      <w:bookmarkStart w:id="83" w:name="_Toc15396619"/>
    </w:p>
    <w:p w14:paraId="2318F7C8">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5A6C1051">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方正仿宋_GBK" w:hAnsi="方正仿宋_GBK" w:eastAsia="方正仿宋_GBK" w:cs="方正仿宋_GBK"/>
          <w:color w:val="auto"/>
          <w:sz w:val="32"/>
          <w:szCs w:val="32"/>
          <w:highlight w:val="none"/>
        </w:rPr>
      </w:pPr>
      <w:bookmarkStart w:id="84" w:name="_Toc7955"/>
      <w:r>
        <w:rPr>
          <w:rFonts w:hint="eastAsia" w:ascii="方正仿宋_GBK" w:hAnsi="方正仿宋_GBK" w:eastAsia="方正仿宋_GBK" w:cs="方正仿宋_GBK"/>
          <w:color w:val="auto"/>
          <w:sz w:val="32"/>
          <w:szCs w:val="32"/>
          <w:highlight w:val="none"/>
        </w:rPr>
        <w:t>一、收入支出决算总表</w:t>
      </w:r>
      <w:bookmarkEnd w:id="83"/>
      <w:bookmarkEnd w:id="84"/>
    </w:p>
    <w:p w14:paraId="20459DCE">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方正仿宋_GBK" w:hAnsi="方正仿宋_GBK" w:eastAsia="方正仿宋_GBK" w:cs="方正仿宋_GBK"/>
          <w:color w:val="auto"/>
          <w:sz w:val="32"/>
          <w:szCs w:val="32"/>
          <w:highlight w:val="none"/>
        </w:rPr>
      </w:pPr>
      <w:bookmarkStart w:id="85" w:name="_Toc15396620"/>
      <w:bookmarkStart w:id="86" w:name="_Toc19527"/>
      <w:r>
        <w:rPr>
          <w:rFonts w:hint="eastAsia" w:ascii="方正仿宋_GBK" w:hAnsi="方正仿宋_GBK" w:eastAsia="方正仿宋_GBK" w:cs="方正仿宋_GBK"/>
          <w:color w:val="auto"/>
          <w:sz w:val="32"/>
          <w:szCs w:val="32"/>
          <w:highlight w:val="none"/>
        </w:rPr>
        <w:t>二、收入决算表</w:t>
      </w:r>
      <w:bookmarkEnd w:id="85"/>
      <w:bookmarkEnd w:id="86"/>
    </w:p>
    <w:p w14:paraId="5619EB91">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方正仿宋_GBK" w:hAnsi="方正仿宋_GBK" w:eastAsia="方正仿宋_GBK" w:cs="方正仿宋_GBK"/>
          <w:color w:val="auto"/>
          <w:sz w:val="32"/>
          <w:szCs w:val="32"/>
          <w:highlight w:val="none"/>
        </w:rPr>
      </w:pPr>
      <w:bookmarkStart w:id="87" w:name="_Toc20357"/>
      <w:bookmarkStart w:id="88" w:name="_Toc15396621"/>
      <w:r>
        <w:rPr>
          <w:rFonts w:hint="eastAsia" w:ascii="方正仿宋_GBK" w:hAnsi="方正仿宋_GBK" w:eastAsia="方正仿宋_GBK" w:cs="方正仿宋_GBK"/>
          <w:color w:val="auto"/>
          <w:sz w:val="32"/>
          <w:szCs w:val="32"/>
          <w:highlight w:val="none"/>
        </w:rPr>
        <w:t>三、支出决算表</w:t>
      </w:r>
      <w:bookmarkEnd w:id="87"/>
      <w:bookmarkEnd w:id="88"/>
    </w:p>
    <w:p w14:paraId="1A27BBBC">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方正仿宋_GBK" w:hAnsi="方正仿宋_GBK" w:eastAsia="方正仿宋_GBK" w:cs="方正仿宋_GBK"/>
          <w:color w:val="auto"/>
          <w:sz w:val="32"/>
          <w:szCs w:val="32"/>
          <w:highlight w:val="none"/>
        </w:rPr>
      </w:pPr>
      <w:bookmarkStart w:id="89" w:name="_Toc15396622"/>
      <w:bookmarkStart w:id="90" w:name="_Toc2087"/>
      <w:r>
        <w:rPr>
          <w:rFonts w:hint="eastAsia" w:ascii="方正仿宋_GBK" w:hAnsi="方正仿宋_GBK" w:eastAsia="方正仿宋_GBK" w:cs="方正仿宋_GBK"/>
          <w:color w:val="auto"/>
          <w:sz w:val="32"/>
          <w:szCs w:val="32"/>
          <w:highlight w:val="none"/>
        </w:rPr>
        <w:t>四、财政拨款收入支出决算总表</w:t>
      </w:r>
      <w:bookmarkEnd w:id="89"/>
      <w:bookmarkEnd w:id="90"/>
    </w:p>
    <w:p w14:paraId="25C9C246">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方正仿宋_GBK" w:hAnsi="方正仿宋_GBK" w:eastAsia="方正仿宋_GBK" w:cs="方正仿宋_GBK"/>
          <w:color w:val="auto"/>
          <w:sz w:val="32"/>
          <w:szCs w:val="32"/>
          <w:highlight w:val="none"/>
        </w:rPr>
      </w:pPr>
      <w:bookmarkStart w:id="91" w:name="_Toc11869"/>
      <w:bookmarkStart w:id="92" w:name="_Toc15396623"/>
      <w:r>
        <w:rPr>
          <w:rFonts w:hint="eastAsia" w:ascii="方正仿宋_GBK" w:hAnsi="方正仿宋_GBK" w:eastAsia="方正仿宋_GBK" w:cs="方正仿宋_GBK"/>
          <w:color w:val="auto"/>
          <w:sz w:val="32"/>
          <w:szCs w:val="32"/>
          <w:highlight w:val="none"/>
        </w:rPr>
        <w:t>五、财政拨款支出决算明细表</w:t>
      </w:r>
      <w:bookmarkEnd w:id="91"/>
      <w:bookmarkEnd w:id="92"/>
      <w:bookmarkStart w:id="93" w:name="_Toc15396624"/>
    </w:p>
    <w:p w14:paraId="77845A54">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方正仿宋_GBK" w:hAnsi="方正仿宋_GBK" w:eastAsia="方正仿宋_GBK" w:cs="方正仿宋_GBK"/>
          <w:color w:val="auto"/>
          <w:sz w:val="32"/>
          <w:szCs w:val="32"/>
          <w:highlight w:val="none"/>
        </w:rPr>
      </w:pPr>
      <w:bookmarkStart w:id="94" w:name="_Toc17882"/>
      <w:r>
        <w:rPr>
          <w:rFonts w:hint="eastAsia" w:ascii="方正仿宋_GBK" w:hAnsi="方正仿宋_GBK" w:eastAsia="方正仿宋_GBK" w:cs="方正仿宋_GBK"/>
          <w:color w:val="auto"/>
          <w:sz w:val="32"/>
          <w:szCs w:val="32"/>
          <w:highlight w:val="none"/>
        </w:rPr>
        <w:t>六、一般公共预算财政拨款支出决算表</w:t>
      </w:r>
      <w:bookmarkEnd w:id="93"/>
      <w:bookmarkEnd w:id="94"/>
    </w:p>
    <w:p w14:paraId="7BE0A137">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方正仿宋_GBK" w:hAnsi="方正仿宋_GBK" w:eastAsia="方正仿宋_GBK" w:cs="方正仿宋_GBK"/>
          <w:color w:val="auto"/>
          <w:sz w:val="32"/>
          <w:szCs w:val="32"/>
          <w:highlight w:val="none"/>
        </w:rPr>
      </w:pPr>
      <w:bookmarkStart w:id="95" w:name="_Toc15396625"/>
      <w:bookmarkStart w:id="96" w:name="_Toc12733"/>
      <w:r>
        <w:rPr>
          <w:rFonts w:hint="eastAsia" w:ascii="方正仿宋_GBK" w:hAnsi="方正仿宋_GBK" w:eastAsia="方正仿宋_GBK" w:cs="方正仿宋_GBK"/>
          <w:color w:val="auto"/>
          <w:sz w:val="32"/>
          <w:szCs w:val="32"/>
          <w:highlight w:val="none"/>
        </w:rPr>
        <w:t>七、一般公共预算财政拨款支出决算明细表</w:t>
      </w:r>
      <w:bookmarkEnd w:id="95"/>
      <w:bookmarkEnd w:id="96"/>
    </w:p>
    <w:p w14:paraId="42D78878">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方正仿宋_GBK" w:hAnsi="方正仿宋_GBK" w:eastAsia="方正仿宋_GBK" w:cs="方正仿宋_GBK"/>
          <w:color w:val="auto"/>
          <w:sz w:val="32"/>
          <w:szCs w:val="32"/>
          <w:highlight w:val="none"/>
        </w:rPr>
      </w:pPr>
      <w:bookmarkStart w:id="97" w:name="_Toc9458"/>
      <w:bookmarkStart w:id="98" w:name="_Toc15396626"/>
      <w:r>
        <w:rPr>
          <w:rFonts w:hint="eastAsia" w:ascii="方正仿宋_GBK" w:hAnsi="方正仿宋_GBK" w:eastAsia="方正仿宋_GBK" w:cs="方正仿宋_GBK"/>
          <w:color w:val="auto"/>
          <w:sz w:val="32"/>
          <w:szCs w:val="32"/>
          <w:highlight w:val="none"/>
        </w:rPr>
        <w:t>八、一般公共预算财政拨款基本支出决算表</w:t>
      </w:r>
      <w:bookmarkEnd w:id="97"/>
      <w:bookmarkEnd w:id="98"/>
    </w:p>
    <w:p w14:paraId="7B9E9967">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方正仿宋_GBK" w:hAnsi="方正仿宋_GBK" w:eastAsia="方正仿宋_GBK" w:cs="方正仿宋_GBK"/>
          <w:color w:val="auto"/>
          <w:sz w:val="32"/>
          <w:szCs w:val="32"/>
          <w:highlight w:val="none"/>
        </w:rPr>
      </w:pPr>
      <w:bookmarkStart w:id="99" w:name="_Toc15396627"/>
      <w:bookmarkStart w:id="100" w:name="_Toc31973"/>
      <w:r>
        <w:rPr>
          <w:rFonts w:hint="eastAsia" w:ascii="方正仿宋_GBK" w:hAnsi="方正仿宋_GBK" w:eastAsia="方正仿宋_GBK" w:cs="方正仿宋_GBK"/>
          <w:color w:val="auto"/>
          <w:sz w:val="32"/>
          <w:szCs w:val="32"/>
          <w:highlight w:val="none"/>
        </w:rPr>
        <w:t>九、一般公共预算财政拨款项目支出决算表</w:t>
      </w:r>
      <w:bookmarkEnd w:id="99"/>
      <w:bookmarkEnd w:id="100"/>
    </w:p>
    <w:p w14:paraId="567D3E36">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方正仿宋_GBK" w:hAnsi="方正仿宋_GBK" w:eastAsia="方正仿宋_GBK" w:cs="方正仿宋_GBK"/>
          <w:color w:val="auto"/>
          <w:sz w:val="32"/>
          <w:szCs w:val="32"/>
          <w:highlight w:val="none"/>
        </w:rPr>
      </w:pPr>
      <w:bookmarkStart w:id="101" w:name="_Toc15396628"/>
      <w:bookmarkStart w:id="102" w:name="_Toc7626"/>
      <w:r>
        <w:rPr>
          <w:rFonts w:hint="eastAsia" w:ascii="方正仿宋_GBK" w:hAnsi="方正仿宋_GBK" w:eastAsia="方正仿宋_GBK" w:cs="方正仿宋_GBK"/>
          <w:color w:val="auto"/>
          <w:sz w:val="32"/>
          <w:szCs w:val="32"/>
          <w:highlight w:val="none"/>
        </w:rPr>
        <w:t>十、</w:t>
      </w:r>
      <w:bookmarkEnd w:id="101"/>
      <w:r>
        <w:rPr>
          <w:rFonts w:hint="eastAsia" w:ascii="方正仿宋_GBK" w:hAnsi="方正仿宋_GBK" w:eastAsia="方正仿宋_GBK" w:cs="方正仿宋_GBK"/>
          <w:color w:val="auto"/>
          <w:sz w:val="32"/>
          <w:szCs w:val="32"/>
          <w:highlight w:val="none"/>
        </w:rPr>
        <w:t>政府性基金预算财政拨款收入支出决算表</w:t>
      </w:r>
      <w:bookmarkEnd w:id="102"/>
    </w:p>
    <w:p w14:paraId="7BC4C260">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方正仿宋_GBK" w:hAnsi="方正仿宋_GBK" w:eastAsia="方正仿宋_GBK" w:cs="方正仿宋_GBK"/>
          <w:color w:val="auto"/>
          <w:sz w:val="32"/>
          <w:szCs w:val="32"/>
          <w:highlight w:val="none"/>
        </w:rPr>
      </w:pPr>
      <w:bookmarkStart w:id="103" w:name="_Toc15396629"/>
      <w:bookmarkStart w:id="104" w:name="_Toc18575"/>
      <w:r>
        <w:rPr>
          <w:rFonts w:hint="eastAsia" w:ascii="方正仿宋_GBK" w:hAnsi="方正仿宋_GBK" w:eastAsia="方正仿宋_GBK" w:cs="方正仿宋_GBK"/>
          <w:color w:val="auto"/>
          <w:sz w:val="32"/>
          <w:szCs w:val="32"/>
          <w:highlight w:val="none"/>
        </w:rPr>
        <w:t>十一、</w:t>
      </w:r>
      <w:bookmarkEnd w:id="103"/>
      <w:r>
        <w:rPr>
          <w:rFonts w:hint="eastAsia" w:ascii="方正仿宋_GBK" w:hAnsi="方正仿宋_GBK" w:eastAsia="方正仿宋_GBK" w:cs="方正仿宋_GBK"/>
          <w:color w:val="auto"/>
          <w:sz w:val="32"/>
          <w:szCs w:val="32"/>
          <w:highlight w:val="none"/>
        </w:rPr>
        <w:t>国有资本经营预算</w:t>
      </w:r>
      <w:r>
        <w:rPr>
          <w:rFonts w:hint="eastAsia" w:ascii="方正仿宋_GBK" w:hAnsi="方正仿宋_GBK" w:eastAsia="方正仿宋_GBK" w:cs="方正仿宋_GBK"/>
          <w:color w:val="auto"/>
          <w:sz w:val="32"/>
          <w:szCs w:val="32"/>
          <w:highlight w:val="none"/>
          <w:lang w:eastAsia="zh-CN"/>
        </w:rPr>
        <w:t>财政拨款收入</w:t>
      </w:r>
      <w:r>
        <w:rPr>
          <w:rFonts w:hint="eastAsia" w:ascii="方正仿宋_GBK" w:hAnsi="方正仿宋_GBK" w:eastAsia="方正仿宋_GBK" w:cs="方正仿宋_GBK"/>
          <w:color w:val="auto"/>
          <w:sz w:val="32"/>
          <w:szCs w:val="32"/>
          <w:highlight w:val="none"/>
        </w:rPr>
        <w:t>支出决算表</w:t>
      </w:r>
      <w:bookmarkEnd w:id="104"/>
    </w:p>
    <w:p w14:paraId="6F56D056">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方正仿宋_GBK" w:hAnsi="方正仿宋_GBK" w:eastAsia="方正仿宋_GBK" w:cs="方正仿宋_GBK"/>
          <w:color w:val="auto"/>
          <w:sz w:val="32"/>
          <w:szCs w:val="32"/>
          <w:highlight w:val="none"/>
        </w:rPr>
      </w:pPr>
      <w:bookmarkStart w:id="105" w:name="_Toc15396630"/>
      <w:bookmarkStart w:id="106" w:name="_Toc18640"/>
      <w:r>
        <w:rPr>
          <w:rFonts w:hint="eastAsia" w:ascii="方正仿宋_GBK" w:hAnsi="方正仿宋_GBK" w:eastAsia="方正仿宋_GBK" w:cs="方正仿宋_GBK"/>
          <w:color w:val="auto"/>
          <w:sz w:val="32"/>
          <w:szCs w:val="32"/>
          <w:highlight w:val="none"/>
        </w:rPr>
        <w:t>十二、</w:t>
      </w:r>
      <w:bookmarkEnd w:id="105"/>
      <w:r>
        <w:rPr>
          <w:rFonts w:hint="eastAsia" w:ascii="方正仿宋_GBK" w:hAnsi="方正仿宋_GBK" w:eastAsia="方正仿宋_GBK" w:cs="方正仿宋_GBK"/>
          <w:color w:val="auto"/>
          <w:sz w:val="32"/>
          <w:szCs w:val="32"/>
          <w:highlight w:val="none"/>
          <w:lang w:eastAsia="zh-CN"/>
        </w:rPr>
        <w:t>国有资本经营预算财政拨款支出决算表</w:t>
      </w:r>
      <w:bookmarkEnd w:id="106"/>
    </w:p>
    <w:p w14:paraId="4B67F19A">
      <w:pPr>
        <w:pStyle w:val="16"/>
        <w:keepNext w:val="0"/>
        <w:keepLines w:val="0"/>
        <w:pageBreakBefore w:val="0"/>
        <w:kinsoku/>
        <w:wordWrap/>
        <w:overflowPunct/>
        <w:topLinePunct w:val="0"/>
        <w:autoSpaceDE/>
        <w:autoSpaceDN/>
        <w:bidi w:val="0"/>
        <w:adjustRightInd w:val="0"/>
        <w:snapToGrid w:val="0"/>
        <w:spacing w:line="560" w:lineRule="exact"/>
        <w:jc w:val="left"/>
        <w:textAlignment w:val="auto"/>
        <w:outlineLvl w:val="1"/>
        <w:rPr>
          <w:rFonts w:hint="eastAsia" w:ascii="方正仿宋_GBK" w:hAnsi="方正仿宋_GBK" w:eastAsia="方正仿宋_GBK" w:cs="方正仿宋_GBK"/>
          <w:color w:val="auto"/>
          <w:sz w:val="32"/>
          <w:szCs w:val="32"/>
          <w:highlight w:val="none"/>
          <w:lang w:eastAsia="zh-CN"/>
        </w:rPr>
      </w:pPr>
      <w:bookmarkStart w:id="107" w:name="_Toc15396631"/>
      <w:bookmarkStart w:id="108" w:name="_Toc2959"/>
      <w:r>
        <w:rPr>
          <w:rFonts w:hint="eastAsia" w:ascii="方正仿宋_GBK" w:hAnsi="方正仿宋_GBK" w:eastAsia="方正仿宋_GBK" w:cs="方正仿宋_GBK"/>
          <w:color w:val="auto"/>
          <w:sz w:val="32"/>
          <w:szCs w:val="32"/>
          <w:highlight w:val="none"/>
        </w:rPr>
        <w:t>十三、</w:t>
      </w:r>
      <w:bookmarkEnd w:id="107"/>
      <w:r>
        <w:rPr>
          <w:rFonts w:hint="eastAsia" w:ascii="方正仿宋_GBK" w:hAnsi="方正仿宋_GBK" w:eastAsia="方正仿宋_GBK" w:cs="方正仿宋_GBK"/>
          <w:color w:val="auto"/>
          <w:sz w:val="32"/>
          <w:szCs w:val="32"/>
          <w:highlight w:val="none"/>
          <w:lang w:eastAsia="zh-CN"/>
        </w:rPr>
        <w:t>财政拨款“三公”经费支出决算表</w:t>
      </w:r>
      <w:bookmarkEnd w:id="108"/>
    </w:p>
    <w:p w14:paraId="5ACE0957">
      <w:pPr>
        <w:rPr>
          <w:rFonts w:hint="eastAsia" w:ascii="Times New Roman" w:hAnsi="Times New Roman"/>
          <w:lang w:eastAsia="zh-CN"/>
        </w:rPr>
      </w:pPr>
    </w:p>
    <w:sectPr>
      <w:footerReference r:id="rId6" w:type="first"/>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D602C72-CB79-4BBD-B059-0B3A34A56E7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2" w:fontKey="{01FD2E5F-7B68-42F9-8DC3-438AAD702824}"/>
  </w:font>
  <w:font w:name="仿宋">
    <w:panose1 w:val="02010609060101010101"/>
    <w:charset w:val="86"/>
    <w:family w:val="modern"/>
    <w:pitch w:val="default"/>
    <w:sig w:usb0="800002BF" w:usb1="38CF7CFA" w:usb2="00000016" w:usb3="00000000" w:csb0="00040001" w:csb1="00000000"/>
    <w:embedRegular r:id="rId3" w:fontKey="{C16614D5-F6A0-489D-984B-591BD9671D32}"/>
  </w:font>
  <w:font w:name="方正仿宋简体">
    <w:panose1 w:val="02000000000000000000"/>
    <w:charset w:val="86"/>
    <w:family w:val="script"/>
    <w:pitch w:val="default"/>
    <w:sig w:usb0="A00002BF" w:usb1="184F6CFA" w:usb2="00000012"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altName w:val="方正舒体"/>
    <w:panose1 w:val="03000509000000000000"/>
    <w:charset w:val="86"/>
    <w:family w:val="script"/>
    <w:pitch w:val="default"/>
    <w:sig w:usb0="00000000" w:usb1="00000000" w:usb2="00000000" w:usb3="00000000" w:csb0="00040000" w:csb1="00000000"/>
    <w:embedRegular r:id="rId4" w:fontKey="{A4132E3A-8601-4706-B43A-1BD45F24CB4F}"/>
  </w:font>
  <w:font w:name="方正舒体">
    <w:panose1 w:val="02010601030101010101"/>
    <w:charset w:val="86"/>
    <w:family w:val="auto"/>
    <w:pitch w:val="default"/>
    <w:sig w:usb0="00000003"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embedRegular r:id="rId5" w:fontKey="{5AE31CC7-E228-444D-8B26-048246C5AB13}"/>
  </w:font>
  <w:font w:name="方正仿宋_GBK">
    <w:panose1 w:val="02000000000000000000"/>
    <w:charset w:val="86"/>
    <w:family w:val="script"/>
    <w:pitch w:val="default"/>
    <w:sig w:usb0="A00002BF" w:usb1="38CF7CFA" w:usb2="00082016" w:usb3="00000000" w:csb0="00040001" w:csb1="00000000"/>
    <w:embedRegular r:id="rId6" w:fontKey="{CC289587-7F96-4503-9A74-EF05BB41487D}"/>
  </w:font>
  <w:font w:name="Arial">
    <w:panose1 w:val="020B0604020202020204"/>
    <w:charset w:val="00"/>
    <w:family w:val="swiss"/>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方正仿宋_GB2312">
    <w:panose1 w:val="02000000000000000000"/>
    <w:charset w:val="86"/>
    <w:family w:val="auto"/>
    <w:pitch w:val="default"/>
    <w:sig w:usb0="A00002BF" w:usb1="184F6CFA" w:usb2="00000012" w:usb3="00000000" w:csb0="00040001" w:csb1="00000000"/>
    <w:embedRegular r:id="rId7" w:fontKey="{68F657E7-6999-4718-BA6D-8948D9318E47}"/>
  </w:font>
  <w:font w:name="方正楷体_GBK">
    <w:panose1 w:val="02000000000000000000"/>
    <w:charset w:val="86"/>
    <w:family w:val="auto"/>
    <w:pitch w:val="default"/>
    <w:sig w:usb0="800002BF" w:usb1="38CF7CFA" w:usb2="00000016" w:usb3="00000000" w:csb0="00040000" w:csb1="00000000"/>
    <w:embedRegular r:id="rId8" w:fontKey="{E5F37D74-3633-41A7-B5B9-C166D2D896F2}"/>
  </w:font>
  <w:font w:name="楷体_GB2312">
    <w:altName w:val="楷体"/>
    <w:panose1 w:val="02010609030101010101"/>
    <w:charset w:val="86"/>
    <w:family w:val="auto"/>
    <w:pitch w:val="default"/>
    <w:sig w:usb0="00000000" w:usb1="00000000" w:usb2="00000000" w:usb3="00000000" w:csb0="00040000" w:csb1="00000000"/>
    <w:embedRegular r:id="rId9" w:fontKey="{EAFDE8FE-45F1-4E77-9405-38AC03B8A1EB}"/>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F9E13">
    <w:pPr>
      <w:pStyle w:val="13"/>
      <w:jc w:val="center"/>
    </w:pPr>
  </w:p>
  <w:p w14:paraId="3807FEF7">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2D355">
    <w:pPr>
      <w:pStyle w:val="13"/>
      <w:jc w:val="center"/>
    </w:pPr>
  </w:p>
  <w:p w14:paraId="6D4FCDA2">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6FFD2">
    <w:pPr>
      <w:pStyle w:val="1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710527">
                          <w:pPr>
                            <w:pStyle w:val="1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5710527">
                    <w:pPr>
                      <w:pStyle w:val="1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- 1 -</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00494">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7FC305"/>
    <w:multiLevelType w:val="singleLevel"/>
    <w:tmpl w:val="A17FC305"/>
    <w:lvl w:ilvl="0" w:tentative="0">
      <w:start w:val="2"/>
      <w:numFmt w:val="chineseCounting"/>
      <w:suff w:val="nothing"/>
      <w:lvlText w:val="（%1）"/>
      <w:lvlJc w:val="left"/>
      <w:rPr>
        <w:rFonts w:hint="eastAsia"/>
      </w:rPr>
    </w:lvl>
  </w:abstractNum>
  <w:abstractNum w:abstractNumId="1">
    <w:nsid w:val="164DB0F9"/>
    <w:multiLevelType w:val="singleLevel"/>
    <w:tmpl w:val="164DB0F9"/>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975B8"/>
    <w:rsid w:val="01A23516"/>
    <w:rsid w:val="02317B1B"/>
    <w:rsid w:val="02FEBE30"/>
    <w:rsid w:val="061E35DE"/>
    <w:rsid w:val="066E0107"/>
    <w:rsid w:val="07996F6E"/>
    <w:rsid w:val="07DFD8BA"/>
    <w:rsid w:val="08DB07E4"/>
    <w:rsid w:val="09867E8F"/>
    <w:rsid w:val="0A2032A3"/>
    <w:rsid w:val="0C6C4794"/>
    <w:rsid w:val="0CA8290A"/>
    <w:rsid w:val="0D35B1ED"/>
    <w:rsid w:val="0DE07E2B"/>
    <w:rsid w:val="0F98263C"/>
    <w:rsid w:val="101860EC"/>
    <w:rsid w:val="10C055FF"/>
    <w:rsid w:val="11772AA4"/>
    <w:rsid w:val="118107EC"/>
    <w:rsid w:val="13957196"/>
    <w:rsid w:val="13D50BC4"/>
    <w:rsid w:val="14022904"/>
    <w:rsid w:val="152F2A07"/>
    <w:rsid w:val="16465E0D"/>
    <w:rsid w:val="165E0673"/>
    <w:rsid w:val="16BB723D"/>
    <w:rsid w:val="16F13FCB"/>
    <w:rsid w:val="186504BB"/>
    <w:rsid w:val="1938089F"/>
    <w:rsid w:val="19A445FC"/>
    <w:rsid w:val="1B7D550C"/>
    <w:rsid w:val="1BE8440E"/>
    <w:rsid w:val="1D155CEE"/>
    <w:rsid w:val="1DE178F3"/>
    <w:rsid w:val="1E740ACF"/>
    <w:rsid w:val="1FF35744"/>
    <w:rsid w:val="1FF6BC77"/>
    <w:rsid w:val="21962A9E"/>
    <w:rsid w:val="21AE7C77"/>
    <w:rsid w:val="22BC3C41"/>
    <w:rsid w:val="23860B96"/>
    <w:rsid w:val="240371BF"/>
    <w:rsid w:val="260F557C"/>
    <w:rsid w:val="281408E2"/>
    <w:rsid w:val="29FD04D3"/>
    <w:rsid w:val="2BFF7BC6"/>
    <w:rsid w:val="2C8A61B5"/>
    <w:rsid w:val="2CBB3B98"/>
    <w:rsid w:val="2D2E01CF"/>
    <w:rsid w:val="2DF04E50"/>
    <w:rsid w:val="2E9545B0"/>
    <w:rsid w:val="2F040D46"/>
    <w:rsid w:val="2FAE5751"/>
    <w:rsid w:val="2FB1A395"/>
    <w:rsid w:val="2FD9A7D8"/>
    <w:rsid w:val="3087144E"/>
    <w:rsid w:val="319F7F4E"/>
    <w:rsid w:val="321B2544"/>
    <w:rsid w:val="3304709D"/>
    <w:rsid w:val="34281836"/>
    <w:rsid w:val="349D6851"/>
    <w:rsid w:val="35BA6CAF"/>
    <w:rsid w:val="35D37231"/>
    <w:rsid w:val="364D14C1"/>
    <w:rsid w:val="36AA5135"/>
    <w:rsid w:val="36BE0DA7"/>
    <w:rsid w:val="36D35D93"/>
    <w:rsid w:val="376B6AA6"/>
    <w:rsid w:val="376D39B2"/>
    <w:rsid w:val="37E16F03"/>
    <w:rsid w:val="37F53A3B"/>
    <w:rsid w:val="389B6C89"/>
    <w:rsid w:val="38D469F0"/>
    <w:rsid w:val="39627CCD"/>
    <w:rsid w:val="397BAF1F"/>
    <w:rsid w:val="3AB79AF3"/>
    <w:rsid w:val="3B7EF35A"/>
    <w:rsid w:val="3B9FDB6C"/>
    <w:rsid w:val="3BF5BC2F"/>
    <w:rsid w:val="3CEBA265"/>
    <w:rsid w:val="3D98207C"/>
    <w:rsid w:val="3D9B0D99"/>
    <w:rsid w:val="3DEE7CF3"/>
    <w:rsid w:val="3DF02244"/>
    <w:rsid w:val="3E78745D"/>
    <w:rsid w:val="3FF4CAE0"/>
    <w:rsid w:val="3FF7B227"/>
    <w:rsid w:val="40E54C45"/>
    <w:rsid w:val="41313393"/>
    <w:rsid w:val="43A407DF"/>
    <w:rsid w:val="44515BEA"/>
    <w:rsid w:val="44E268DA"/>
    <w:rsid w:val="453F7E5B"/>
    <w:rsid w:val="486A6C7A"/>
    <w:rsid w:val="489E220E"/>
    <w:rsid w:val="49176D9B"/>
    <w:rsid w:val="494006BD"/>
    <w:rsid w:val="495C6CBE"/>
    <w:rsid w:val="4A627F82"/>
    <w:rsid w:val="4B0E749A"/>
    <w:rsid w:val="4B4F25DA"/>
    <w:rsid w:val="4BDA0CFB"/>
    <w:rsid w:val="4BE068DB"/>
    <w:rsid w:val="4D3C0CCC"/>
    <w:rsid w:val="4D577224"/>
    <w:rsid w:val="4DBF1CEB"/>
    <w:rsid w:val="4E656E97"/>
    <w:rsid w:val="4EAB630A"/>
    <w:rsid w:val="4ECE2238"/>
    <w:rsid w:val="4F833267"/>
    <w:rsid w:val="4FE9BD67"/>
    <w:rsid w:val="4FFB052F"/>
    <w:rsid w:val="53083A92"/>
    <w:rsid w:val="537E6D0A"/>
    <w:rsid w:val="53AF27A2"/>
    <w:rsid w:val="53F74C96"/>
    <w:rsid w:val="56820509"/>
    <w:rsid w:val="56E47B74"/>
    <w:rsid w:val="57BD3DD4"/>
    <w:rsid w:val="5857696C"/>
    <w:rsid w:val="5AF92295"/>
    <w:rsid w:val="5BDD79E6"/>
    <w:rsid w:val="5BF561CA"/>
    <w:rsid w:val="5BFF5DFC"/>
    <w:rsid w:val="5CD71FC4"/>
    <w:rsid w:val="5D1F11B5"/>
    <w:rsid w:val="5DAE1B18"/>
    <w:rsid w:val="5DE7D9E5"/>
    <w:rsid w:val="5ECEC941"/>
    <w:rsid w:val="5F493CB7"/>
    <w:rsid w:val="5FBF9FF3"/>
    <w:rsid w:val="5FCD4E2C"/>
    <w:rsid w:val="5FD15F49"/>
    <w:rsid w:val="5FEF394A"/>
    <w:rsid w:val="5FF67715"/>
    <w:rsid w:val="62BF3928"/>
    <w:rsid w:val="647F5392"/>
    <w:rsid w:val="664B1D71"/>
    <w:rsid w:val="67AA3209"/>
    <w:rsid w:val="681C4F0D"/>
    <w:rsid w:val="69046D0F"/>
    <w:rsid w:val="698D0931"/>
    <w:rsid w:val="6A993CED"/>
    <w:rsid w:val="6B053271"/>
    <w:rsid w:val="6BCE6674"/>
    <w:rsid w:val="6C4A05C8"/>
    <w:rsid w:val="6C8742B8"/>
    <w:rsid w:val="6C8A170F"/>
    <w:rsid w:val="6CB54609"/>
    <w:rsid w:val="6DBF5E93"/>
    <w:rsid w:val="6DFF077E"/>
    <w:rsid w:val="6E7E3605"/>
    <w:rsid w:val="6E7FDCC7"/>
    <w:rsid w:val="6ED6A62E"/>
    <w:rsid w:val="6EE00B15"/>
    <w:rsid w:val="6F544B20"/>
    <w:rsid w:val="6F6FB3EB"/>
    <w:rsid w:val="6F784160"/>
    <w:rsid w:val="6F8731EA"/>
    <w:rsid w:val="6FCE6052"/>
    <w:rsid w:val="6FD57C00"/>
    <w:rsid w:val="6FEFFFD8"/>
    <w:rsid w:val="6FF5CC65"/>
    <w:rsid w:val="6FFB47EC"/>
    <w:rsid w:val="6FFF034A"/>
    <w:rsid w:val="70496804"/>
    <w:rsid w:val="712A28F1"/>
    <w:rsid w:val="715C0E4B"/>
    <w:rsid w:val="72233669"/>
    <w:rsid w:val="72734D90"/>
    <w:rsid w:val="7332FE48"/>
    <w:rsid w:val="73AB61DA"/>
    <w:rsid w:val="73AD73D5"/>
    <w:rsid w:val="73B6EB34"/>
    <w:rsid w:val="73FA497D"/>
    <w:rsid w:val="744731E5"/>
    <w:rsid w:val="74527205"/>
    <w:rsid w:val="74BBD01D"/>
    <w:rsid w:val="74ED5379"/>
    <w:rsid w:val="74FC2395"/>
    <w:rsid w:val="75DEEEC2"/>
    <w:rsid w:val="76E3355F"/>
    <w:rsid w:val="76FF5125"/>
    <w:rsid w:val="776F6FFA"/>
    <w:rsid w:val="778769C8"/>
    <w:rsid w:val="77DC22F5"/>
    <w:rsid w:val="79086DAD"/>
    <w:rsid w:val="79974F09"/>
    <w:rsid w:val="79D7FD79"/>
    <w:rsid w:val="79EE5BA4"/>
    <w:rsid w:val="7A894339"/>
    <w:rsid w:val="7AFF7572"/>
    <w:rsid w:val="7B6C7DFB"/>
    <w:rsid w:val="7BBFBED0"/>
    <w:rsid w:val="7BC3E394"/>
    <w:rsid w:val="7C1F3737"/>
    <w:rsid w:val="7CBFC87B"/>
    <w:rsid w:val="7CFE0F48"/>
    <w:rsid w:val="7D7EC23E"/>
    <w:rsid w:val="7D916348"/>
    <w:rsid w:val="7E8ADEBF"/>
    <w:rsid w:val="7EEF11D3"/>
    <w:rsid w:val="7F0971A6"/>
    <w:rsid w:val="7F3F679B"/>
    <w:rsid w:val="7F4FC4EF"/>
    <w:rsid w:val="7F5E4D54"/>
    <w:rsid w:val="7F6E0135"/>
    <w:rsid w:val="7FA30C79"/>
    <w:rsid w:val="7FAF8ABF"/>
    <w:rsid w:val="7FB7269E"/>
    <w:rsid w:val="7FC96657"/>
    <w:rsid w:val="7FDA9588"/>
    <w:rsid w:val="7FDF220F"/>
    <w:rsid w:val="7FEDC5F7"/>
    <w:rsid w:val="7FEDD9DE"/>
    <w:rsid w:val="7FF5890D"/>
    <w:rsid w:val="7FF93490"/>
    <w:rsid w:val="99FF2014"/>
    <w:rsid w:val="A6DD0D7F"/>
    <w:rsid w:val="ADC6F725"/>
    <w:rsid w:val="B7CF06AB"/>
    <w:rsid w:val="B7CFA926"/>
    <w:rsid w:val="B7F8786B"/>
    <w:rsid w:val="BABB6AA1"/>
    <w:rsid w:val="BB2F4199"/>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FFA9E8"/>
    <w:rsid w:val="E5F4E9DC"/>
    <w:rsid w:val="E70FE695"/>
    <w:rsid w:val="ECFED1BC"/>
    <w:rsid w:val="ED1D69BB"/>
    <w:rsid w:val="ED7FD312"/>
    <w:rsid w:val="EF53993F"/>
    <w:rsid w:val="EF6FD633"/>
    <w:rsid w:val="EFBFB2F4"/>
    <w:rsid w:val="EFBFFA21"/>
    <w:rsid w:val="F2BEBCB8"/>
    <w:rsid w:val="F36FB518"/>
    <w:rsid w:val="F3DE1A04"/>
    <w:rsid w:val="F3F722E5"/>
    <w:rsid w:val="FA5F1E70"/>
    <w:rsid w:val="FA5FDB97"/>
    <w:rsid w:val="FB7F486A"/>
    <w:rsid w:val="FBFF5B2E"/>
    <w:rsid w:val="FD7FFE2B"/>
    <w:rsid w:val="FDEE196B"/>
    <w:rsid w:val="FDFE6575"/>
    <w:rsid w:val="FEDFDDC2"/>
    <w:rsid w:val="FEED32F6"/>
    <w:rsid w:val="FEF781DD"/>
    <w:rsid w:val="FF3F7E3F"/>
    <w:rsid w:val="FFBA12D7"/>
    <w:rsid w:val="FFDFFAEE"/>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qFormat/>
    <w:uiPriority w:val="0"/>
    <w:pPr>
      <w:spacing w:after="120"/>
      <w:ind w:leftChars="200"/>
    </w:pPr>
    <w:rPr>
      <w:rFonts w:ascii="仿宋_GB2312"/>
      <w:szCs w:val="32"/>
    </w:rPr>
  </w:style>
  <w:style w:type="paragraph" w:styleId="8">
    <w:name w:val="Normal Indent"/>
    <w:basedOn w:val="1"/>
    <w:next w:val="9"/>
    <w:qFormat/>
    <w:uiPriority w:val="0"/>
    <w:pPr>
      <w:keepNext w:val="0"/>
      <w:keepLines w:val="0"/>
      <w:widowControl w:val="0"/>
      <w:suppressLineNumbers w:val="0"/>
      <w:spacing w:before="0" w:beforeAutospacing="0" w:after="0" w:afterAutospacing="0" w:line="240" w:lineRule="auto"/>
      <w:ind w:left="0" w:firstLine="567"/>
      <w:jc w:val="both"/>
    </w:pPr>
    <w:rPr>
      <w:rFonts w:ascii="Calibri" w:hAnsi="Calibri" w:eastAsia="宋体" w:cs="Times New Roman"/>
      <w:kern w:val="2"/>
      <w:sz w:val="21"/>
      <w:szCs w:val="21"/>
      <w:lang w:val="en-US" w:eastAsia="zh-CN" w:bidi="ar"/>
    </w:rPr>
  </w:style>
  <w:style w:type="paragraph" w:styleId="9">
    <w:name w:val="Date"/>
    <w:basedOn w:val="1"/>
    <w:next w:val="1"/>
    <w:qFormat/>
    <w:uiPriority w:val="0"/>
    <w:pPr>
      <w:ind w:left="2500" w:leftChars="2500"/>
    </w:pPr>
    <w:rPr>
      <w:rFonts w:ascii="方正仿宋简体" w:eastAsia="方正仿宋简体"/>
      <w:szCs w:val="20"/>
    </w:rPr>
  </w:style>
  <w:style w:type="paragraph" w:styleId="10">
    <w:name w:val="Body Text"/>
    <w:basedOn w:val="1"/>
    <w:link w:val="27"/>
    <w:qFormat/>
    <w:uiPriority w:val="99"/>
    <w:pPr>
      <w:spacing w:beforeLines="30"/>
    </w:pPr>
    <w:rPr>
      <w:rFonts w:ascii="仿宋_GB2312" w:eastAsia="仿宋_GB2312"/>
      <w:kern w:val="0"/>
      <w:sz w:val="30"/>
    </w:rPr>
  </w:style>
  <w:style w:type="paragraph" w:styleId="11">
    <w:name w:val="toc 3"/>
    <w:basedOn w:val="1"/>
    <w:next w:val="1"/>
    <w:unhideWhenUsed/>
    <w:qFormat/>
    <w:uiPriority w:val="39"/>
    <w:pPr>
      <w:tabs>
        <w:tab w:val="right" w:leader="dot" w:pos="8296"/>
      </w:tabs>
      <w:ind w:left="840" w:leftChars="400"/>
    </w:pPr>
  </w:style>
  <w:style w:type="paragraph" w:styleId="12">
    <w:name w:val="Balloon Text"/>
    <w:basedOn w:val="1"/>
    <w:link w:val="33"/>
    <w:semiHidden/>
    <w:unhideWhenUsed/>
    <w:qFormat/>
    <w:uiPriority w:val="99"/>
    <w:rPr>
      <w:sz w:val="18"/>
      <w:szCs w:val="18"/>
    </w:rPr>
  </w:style>
  <w:style w:type="paragraph" w:styleId="13">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4">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6">
    <w:name w:val="toc 2"/>
    <w:basedOn w:val="1"/>
    <w:next w:val="1"/>
    <w:unhideWhenUsed/>
    <w:qFormat/>
    <w:uiPriority w:val="39"/>
    <w:pPr>
      <w:tabs>
        <w:tab w:val="right" w:leader="dot" w:pos="8296"/>
      </w:tabs>
      <w:ind w:left="420" w:leftChars="200"/>
    </w:p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Char"/>
    <w:link w:val="14"/>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Char"/>
    <w:link w:val="13"/>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Char"/>
    <w:link w:val="10"/>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Char"/>
    <w:basedOn w:val="18"/>
    <w:link w:val="5"/>
    <w:qFormat/>
    <w:uiPriority w:val="9"/>
    <w:rPr>
      <w:rFonts w:ascii="Times New Roman" w:hAnsi="Times New Roman"/>
      <w:b/>
      <w:bCs/>
      <w:kern w:val="44"/>
      <w:sz w:val="44"/>
      <w:szCs w:val="44"/>
    </w:rPr>
  </w:style>
  <w:style w:type="character" w:customStyle="1" w:styleId="31">
    <w:name w:val="标题 2 Char"/>
    <w:basedOn w:val="18"/>
    <w:link w:val="6"/>
    <w:qFormat/>
    <w:uiPriority w:val="9"/>
    <w:rPr>
      <w:rFonts w:asciiTheme="majorHAnsi" w:hAnsiTheme="majorHAnsi" w:eastAsiaTheme="majorEastAsia" w:cstheme="majorBidi"/>
      <w:b/>
      <w:bCs/>
      <w:kern w:val="2"/>
      <w:sz w:val="32"/>
      <w:szCs w:val="32"/>
    </w:rPr>
  </w:style>
  <w:style w:type="paragraph" w:customStyle="1" w:styleId="32">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Char"/>
    <w:basedOn w:val="18"/>
    <w:link w:val="12"/>
    <w:semiHidden/>
    <w:qFormat/>
    <w:uiPriority w:val="99"/>
    <w:rPr>
      <w:rFonts w:ascii="Times New Roman" w:hAnsi="Times New Roman"/>
      <w:kern w:val="2"/>
      <w:sz w:val="18"/>
      <w:szCs w:val="18"/>
    </w:rPr>
  </w:style>
  <w:style w:type="character" w:customStyle="1" w:styleId="34">
    <w:name w:val="标题 3 Char"/>
    <w:basedOn w:val="18"/>
    <w:link w:val="7"/>
    <w:qFormat/>
    <w:uiPriority w:val="9"/>
    <w:rPr>
      <w:rFonts w:ascii="Times New Roman" w:hAnsi="Times New Roman"/>
      <w:b/>
      <w:bCs/>
      <w:kern w:val="2"/>
      <w:sz w:val="32"/>
      <w:szCs w:val="32"/>
    </w:rPr>
  </w:style>
  <w:style w:type="paragraph" w:customStyle="1" w:styleId="35">
    <w:name w:val="TOC Heading"/>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4" Type="http://schemas.openxmlformats.org/officeDocument/2006/relationships/image" Target="../media/image4.png"/><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4" Type="http://schemas.openxmlformats.org/officeDocument/2006/relationships/image" Target="../media/image4.png"/><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package" Target="../embeddings/Workbook7.xlsx"/></Relationships>
</file>

<file path=word/charts/_rels/chart5.xml.rels><?xml version="1.0" encoding="UTF-8" standalone="yes"?>
<Relationships xmlns="http://schemas.openxmlformats.org/package/2006/relationships"><Relationship Id="rId4" Type="http://schemas.openxmlformats.org/officeDocument/2006/relationships/image" Target="../media/image4.png"/><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package" Target="../embeddings/Workbook5.xlsx"/></Relationships>
</file>

<file path=word/charts/_rels/chart7.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image" Target="../media/image1.png"/><Relationship Id="rId1" Type="http://schemas.openxmlformats.org/officeDocument/2006/relationships/package" Target="../embeddings/Workbook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4072708113804"/>
          <c:y val="0.0287485907553551"/>
        </c:manualLayout>
      </c:layout>
      <c:overlay val="0"/>
      <c:spPr>
        <a:noFill/>
        <a:ln>
          <a:noFill/>
        </a:ln>
        <a:effectLst/>
      </c:spPr>
      <c:tx>
        <c:rich>
          <a:bodyPr/>
          <a:lstStyle/>
          <a:p>
            <a:pPr>
              <a:defRPr/>
            </a:pPr>
          </a:p>
        </c:rich>
      </c:tx>
    </c:title>
    <c:autoTitleDeleted val="0"/>
    <c:plotArea>
      <c:layout/>
      <c:barChart>
        <c:barDir val="col"/>
        <c:grouping val="clustered"/>
        <c:varyColors val="0"/>
        <c:ser>
          <c:idx val="0"/>
          <c:order val="0"/>
          <c:tx>
            <c:strRef>
              <c:f>Sheet1!$B$1</c:f>
              <c:strCache>
                <c:ptCount val="1"/>
                <c:pt idx="0">
                  <c:v/>
                </c:pt>
              </c:strCache>
            </c:strRef>
          </c:tx>
          <c:spPr>
            <a:blipFill>
              <a:blip xmlns:r="http://schemas.openxmlformats.org/officeDocument/2006/relationships" r:embed="rId2"/>
              <a:stretch>
                <a:fillRect/>
              </a:stretch>
            </a:blipFill>
            <a:ln w="3175">
              <a:solidFill>
                <a:schemeClr val="bg1"/>
              </a:solidFill>
            </a:ln>
            <a:effectLst/>
          </c:spPr>
          <c:invertIfNegative val="0"/>
          <c:pictureOptions>
            <c:pictureFormat val="stack"/>
          </c:pictureOptions>
          <c:dLbls>
            <c:spPr>
              <a:noFill/>
              <a:ln>
                <a:noFill/>
              </a:ln>
              <a:effectLst/>
            </c:spPr>
            <c:txPr>
              <a:bodyPr rot="0" spcFirstLastPara="0" vertOverflow="ellipsis" vert="horz" wrap="square" lIns="38100" tIns="19050" rIns="38100" bIns="19050" anchor="ctr" anchorCtr="1" forceAA="0"/>
              <a:lstStyle/>
              <a:p>
                <a:pPr>
                  <a:defRPr lang="zh-CN" sz="1050" b="1" i="0" u="none" strike="noStrike" kern="1200" baseline="0">
                    <a:solidFill>
                      <a:schemeClr val="bg1"/>
                    </a:solidFill>
                    <a:latin typeface="Arial" panose="020B0604020202020204" pitchFamily="2" charset="0"/>
                    <a:ea typeface="微软雅黑" panose="020B0503020204020204" charset="-122"/>
                    <a:cs typeface="Arial" panose="020B0604020202020204" pitchFamily="2" charset="0"/>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numRef>
              <c:f>Sheet1!$A$2:$A$5</c:f>
              <c:numCache>
                <c:formatCode>General</c:formatCode>
                <c:ptCount val="4"/>
                <c:pt idx="1">
                  <c:v>2024</c:v>
                </c:pt>
                <c:pt idx="2">
                  <c:v>2025</c:v>
                </c:pt>
              </c:numCache>
            </c:numRef>
          </c:cat>
          <c:val>
            <c:numRef>
              <c:f>Sheet1!$B$2:$B$5</c:f>
              <c:numCache>
                <c:formatCode>General</c:formatCode>
                <c:ptCount val="4"/>
              </c:numCache>
            </c:numRef>
          </c:val>
        </c:ser>
        <c:ser>
          <c:idx val="1"/>
          <c:order val="1"/>
          <c:tx>
            <c:strRef>
              <c:f>Sheet1!$C$1</c:f>
              <c:strCache>
                <c:ptCount val="1"/>
                <c:pt idx="0">
                  <c:v>2024年</c:v>
                </c:pt>
              </c:strCache>
            </c:strRef>
          </c:tx>
          <c:spPr>
            <a:blipFill>
              <a:blip xmlns:r="http://schemas.openxmlformats.org/officeDocument/2006/relationships" r:embed="rId3"/>
              <a:stretch>
                <a:fillRect/>
              </a:stretch>
            </a:blipFill>
            <a:ln w="3175">
              <a:solidFill>
                <a:schemeClr val="bg1"/>
              </a:solidFill>
            </a:ln>
            <a:effectLst/>
          </c:spPr>
          <c:invertIfNegative val="0"/>
          <c:pictureOptions>
            <c:pictureFormat val="stack"/>
          </c:pictureOptions>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Arial" panose="020B0604020202020204" pitchFamily="2" charset="0"/>
                    <a:ea typeface="微软雅黑" panose="020B0503020204020204" charset="-122"/>
                    <a:cs typeface="Arial" panose="020B0604020202020204" pitchFamily="2"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numRef>
              <c:f>Sheet1!$A$2:$A$5</c:f>
              <c:numCache>
                <c:formatCode>General</c:formatCode>
                <c:ptCount val="4"/>
                <c:pt idx="1">
                  <c:v>2024</c:v>
                </c:pt>
                <c:pt idx="2">
                  <c:v>2025</c:v>
                </c:pt>
              </c:numCache>
            </c:numRef>
          </c:cat>
          <c:val>
            <c:numRef>
              <c:f>Sheet1!$C$2:$C$5</c:f>
              <c:numCache>
                <c:formatCode>General</c:formatCode>
                <c:ptCount val="4"/>
                <c:pt idx="1">
                  <c:v>4398.24</c:v>
                </c:pt>
              </c:numCache>
            </c:numRef>
          </c:val>
        </c:ser>
        <c:ser>
          <c:idx val="2"/>
          <c:order val="2"/>
          <c:tx>
            <c:strRef>
              <c:f>Sheet1!$D$1</c:f>
              <c:strCache>
                <c:ptCount val="1"/>
                <c:pt idx="0">
                  <c:v>2025年</c:v>
                </c:pt>
              </c:strCache>
            </c:strRef>
          </c:tx>
          <c:spPr>
            <a:blipFill>
              <a:blip xmlns:r="http://schemas.openxmlformats.org/officeDocument/2006/relationships" r:embed="rId4"/>
              <a:stretch>
                <a:fillRect/>
              </a:stretch>
            </a:blipFill>
            <a:ln w="3175">
              <a:solidFill>
                <a:schemeClr val="bg1"/>
              </a:solidFill>
            </a:ln>
            <a:effectLst/>
          </c:spPr>
          <c:invertIfNegative val="0"/>
          <c:pictureOptions>
            <c:pictureFormat val="stack"/>
          </c:pictureOptions>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Arial" panose="020B0604020202020204" pitchFamily="2" charset="0"/>
                    <a:ea typeface="微软雅黑" panose="020B0503020204020204" charset="-122"/>
                    <a:cs typeface="Arial" panose="020B0604020202020204" pitchFamily="2"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numRef>
              <c:f>Sheet1!$A$2:$A$5</c:f>
              <c:numCache>
                <c:formatCode>General</c:formatCode>
                <c:ptCount val="4"/>
                <c:pt idx="1">
                  <c:v>2024</c:v>
                </c:pt>
                <c:pt idx="2">
                  <c:v>2025</c:v>
                </c:pt>
              </c:numCache>
            </c:numRef>
          </c:cat>
          <c:val>
            <c:numRef>
              <c:f>Sheet1!$D$2:$D$5</c:f>
              <c:numCache>
                <c:formatCode>General</c:formatCode>
                <c:ptCount val="4"/>
                <c:pt idx="2">
                  <c:v>4752.66</c:v>
                </c:pt>
              </c:numCache>
            </c:numRef>
          </c:val>
        </c:ser>
        <c:dLbls>
          <c:showLegendKey val="0"/>
          <c:showVal val="1"/>
          <c:showCatName val="0"/>
          <c:showSerName val="0"/>
          <c:showPercent val="0"/>
          <c:showBubbleSize val="0"/>
        </c:dLbls>
        <c:gapWidth val="160"/>
        <c:axId val="632020008"/>
        <c:axId val="156059363"/>
      </c:barChart>
      <c:catAx>
        <c:axId val="632020008"/>
        <c:scaling>
          <c:orientation val="minMax"/>
        </c:scaling>
        <c:delete val="0"/>
        <c:axPos val="b"/>
        <c:numFmt formatCode="General" sourceLinked="1"/>
        <c:majorTickMark val="none"/>
        <c:minorTickMark val="none"/>
        <c:tickLblPos val="nextTo"/>
        <c:spPr>
          <a:noFill/>
          <a:ln w="19050" cap="flat" cmpd="sng" algn="ctr">
            <a:noFill/>
            <a:prstDash val="solid"/>
            <a:round/>
          </a:ln>
          <a:effectLst/>
        </c:spPr>
        <c:txPr>
          <a:bodyPr rot="-60000000" spcFirstLastPara="0" vertOverflow="ellipsis" vert="horz" wrap="square" anchor="ctr" anchorCtr="1" forceAA="0"/>
          <a:lstStyle/>
          <a:p>
            <a:pPr>
              <a:defRPr lang="zh-CN" sz="900" b="0" i="0" u="none" strike="noStrike" kern="1200" baseline="0">
                <a:solidFill>
                  <a:schemeClr val="tx1">
                    <a:lumMod val="50000"/>
                    <a:lumOff val="50000"/>
                  </a:schemeClr>
                </a:solidFill>
                <a:latin typeface="Arial" panose="020B0604020202020204" pitchFamily="2" charset="0"/>
                <a:ea typeface="微软雅黑" panose="020B0503020204020204" charset="-122"/>
                <a:cs typeface="Arial" panose="020B0604020202020204" pitchFamily="2" charset="0"/>
              </a:defRPr>
            </a:pPr>
          </a:p>
        </c:txPr>
        <c:crossAx val="156059363"/>
        <c:crosses val="autoZero"/>
        <c:auto val="1"/>
        <c:lblAlgn val="ctr"/>
        <c:lblOffset val="100"/>
        <c:noMultiLvlLbl val="0"/>
      </c:catAx>
      <c:valAx>
        <c:axId val="156059363"/>
        <c:scaling>
          <c:orientation val="minMax"/>
        </c:scaling>
        <c:delete val="0"/>
        <c:axPos val="l"/>
        <c:majorGridlines>
          <c:spPr>
            <a:ln w="9525" cap="flat" cmpd="sng" algn="ctr">
              <a:solidFill>
                <a:schemeClr val="bg1">
                  <a:lumMod val="85000"/>
                </a:schemeClr>
              </a:solidFill>
              <a:prstDash val="solid"/>
              <a:round/>
            </a:ln>
            <a:effectLst/>
          </c:spPr>
        </c:majorGridlines>
        <c:minorGridlines>
          <c:spPr>
            <a:ln w="9525" cap="flat" cmpd="sng" algn="ctr">
              <a:solidFill>
                <a:schemeClr val="tx1">
                  <a:lumMod val="5000"/>
                  <a:lumOff val="95000"/>
                </a:schemeClr>
              </a:solidFill>
              <a:prstDash val="solid"/>
              <a:round/>
            </a:ln>
            <a:effectLst/>
          </c:spPr>
        </c:minorGridlines>
        <c:numFmt formatCode="General" sourceLinked="1"/>
        <c:majorTickMark val="out"/>
        <c:minorTickMark val="none"/>
        <c:tickLblPos val="nextTo"/>
        <c:spPr>
          <a:noFill/>
          <a:ln w="9525" cap="flat" cmpd="sng" algn="ctr">
            <a:noFill/>
            <a:prstDash val="solid"/>
            <a:round/>
          </a:ln>
          <a:effectLst/>
        </c:spPr>
        <c:txPr>
          <a:bodyPr rot="-60000000" spcFirstLastPara="0" vertOverflow="ellipsis" vert="horz" wrap="square" anchor="ctr" anchorCtr="1" forceAA="0"/>
          <a:lstStyle/>
          <a:p>
            <a:pPr>
              <a:defRPr lang="zh-CN" sz="900" b="0" i="0" u="none" strike="noStrike" kern="1200" baseline="0">
                <a:solidFill>
                  <a:schemeClr val="tx1">
                    <a:lumMod val="50000"/>
                    <a:lumOff val="50000"/>
                  </a:schemeClr>
                </a:solidFill>
                <a:latin typeface="Arial" panose="020B0604020202020204" pitchFamily="2" charset="0"/>
                <a:ea typeface="微软雅黑" panose="020B0503020204020204" charset="-122"/>
                <a:cs typeface="Arial" panose="020B0604020202020204" pitchFamily="2" charset="0"/>
              </a:defRPr>
            </a:pPr>
          </a:p>
        </c:txPr>
        <c:crossAx val="632020008"/>
        <c:crosses val="autoZero"/>
        <c:crossBetween val="between"/>
      </c:valAx>
      <c:spPr>
        <a:noFill/>
        <a:ln>
          <a:noFill/>
        </a:ln>
        <a:effectLst/>
      </c:spPr>
    </c:plotArea>
    <c:legend>
      <c:legendPos val="b"/>
      <c:legendEntry>
        <c:idx val="0"/>
        <c:delete val="1"/>
      </c:legendEntry>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50000"/>
                  <a:lumOff val="50000"/>
                </a:schemeClr>
              </a:solidFill>
              <a:latin typeface="Arial" panose="020B0604020202020204" pitchFamily="2" charset="0"/>
              <a:ea typeface="微软雅黑" panose="020B0503020204020204" charset="-122"/>
              <a:cs typeface="Arial" panose="020B0604020202020204" pitchFamily="2" charset="0"/>
            </a:defRPr>
          </a:pPr>
        </a:p>
      </c:txPr>
    </c:legend>
    <c:plotVisOnly val="1"/>
    <c:dispBlanksAs val="gap"/>
    <c:showDLblsOverMax val="0"/>
    <c:extLst>
      <c:ext uri="{0b15fc19-7d7d-44ad-8c2d-2c3a37ce22c3}">
        <chartProps xmlns="https://web.wps.cn/et/2018/main" chartId="{bb5193c3-5f1a-4c38-bb7f-7af8c077ce6d}"/>
      </c:ext>
    </c:extLst>
  </c:chart>
  <c:spPr>
    <a:solidFill>
      <a:schemeClr val="bg1"/>
    </a:solidFill>
    <a:ln w="9525" cap="flat" cmpd="sng" algn="ctr">
      <a:solidFill>
        <a:schemeClr val="bg1">
          <a:lumMod val="95000"/>
        </a:schemeClr>
      </a:solidFill>
      <a:prstDash val="solid"/>
      <a:round/>
    </a:ln>
    <a:effectLst/>
  </c:spPr>
  <c:txPr>
    <a:bodyPr/>
    <a:lstStyle/>
    <a:p>
      <a:pPr>
        <a:defRPr lang="zh-CN">
          <a:solidFill>
            <a:srgbClr val="175A83"/>
          </a:solidFill>
          <a:latin typeface="Arial" panose="020B0604020202020204" pitchFamily="2" charset="0"/>
          <a:ea typeface="微软雅黑" panose="020B0503020204020204" charset="-122"/>
          <a:cs typeface="Arial" panose="020B0604020202020204" pitchFamily="2" charset="0"/>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
        <c:rich>
          <a:bodyPr/>
          <a:lstStyle/>
          <a:p>
            <a:pPr>
              <a:defRPr/>
            </a:pPr>
          </a:p>
        </c:rich>
      </c:tx>
    </c:title>
    <c:autoTitleDeleted val="0"/>
    <c:plotArea>
      <c:layout>
        <c:manualLayout>
          <c:layoutTarget val="inner"/>
          <c:xMode val="edge"/>
          <c:yMode val="edge"/>
          <c:x val="0.29466791393826"/>
          <c:y val="0.186425541415495"/>
          <c:w val="0.424295068822665"/>
          <c:h val="0.708863585621791"/>
        </c:manualLayout>
      </c:layout>
      <c:pieChart>
        <c:varyColors val="1"/>
        <c:ser>
          <c:idx val="0"/>
          <c:order val="0"/>
          <c:tx>
            <c:strRef>
              <c:f>Sheet1!$B$1</c:f>
              <c:strCache>
                <c:ptCount val="1"/>
                <c:pt idx="0">
                  <c:v>列1</c:v>
                </c:pt>
              </c:strCache>
            </c:strRef>
          </c:tx>
          <c:spPr>
            <a:solidFill>
              <a:srgbClr val="384C91"/>
            </a:solidFill>
            <a:effectLst>
              <a:outerShdw blurRad="63500" sx="102000" sy="102000" algn="ctr" rotWithShape="0">
                <a:prstClr val="black">
                  <a:alpha val="40000"/>
                </a:prstClr>
              </a:outerShdw>
            </a:effectLst>
          </c:spPr>
          <c:explosion val="8"/>
          <c:dPt>
            <c:idx val="0"/>
            <c:bubble3D val="0"/>
            <c:spPr>
              <a:solidFill>
                <a:srgbClr val="ECC6B8"/>
              </a:solidFill>
              <a:ln>
                <a:noFill/>
              </a:ln>
              <a:effectLst>
                <a:outerShdw blurRad="63500" sx="102000" sy="102000" algn="ctr" rotWithShape="0">
                  <a:prstClr val="black">
                    <a:alpha val="40000"/>
                  </a:prstClr>
                </a:outerShdw>
              </a:effectLst>
            </c:spPr>
          </c:dPt>
          <c:dPt>
            <c:idx val="1"/>
            <c:bubble3D val="0"/>
            <c:spPr>
              <a:solidFill>
                <a:srgbClr val="B41D1E"/>
              </a:solidFill>
              <a:ln>
                <a:noFill/>
              </a:ln>
              <a:effectLst>
                <a:outerShdw blurRad="63500" sx="102000" sy="102000" algn="ctr" rotWithShape="0">
                  <a:prstClr val="black">
                    <a:alpha val="40000"/>
                  </a:prstClr>
                </a:outerShdw>
              </a:effectLst>
            </c:spPr>
          </c:dPt>
          <c:dPt>
            <c:idx val="2"/>
            <c:bubble3D val="0"/>
            <c:spPr>
              <a:solidFill>
                <a:srgbClr val="7085C8"/>
              </a:solidFill>
              <a:ln>
                <a:noFill/>
              </a:ln>
              <a:effectLst>
                <a:outerShdw blurRad="63500" sx="102000" sy="102000" algn="ctr" rotWithShape="0">
                  <a:prstClr val="black">
                    <a:alpha val="40000"/>
                  </a:prstClr>
                </a:outerShdw>
              </a:effectLst>
            </c:spPr>
          </c:dPt>
          <c:dPt>
            <c:idx val="3"/>
            <c:bubble3D val="0"/>
            <c:spPr>
              <a:solidFill>
                <a:srgbClr val="384C91"/>
              </a:solidFill>
              <a:ln>
                <a:noFill/>
              </a:ln>
              <a:effectLst>
                <a:outerShdw blurRad="63500" sx="102000" sy="102000" algn="ctr" rotWithShape="0">
                  <a:prstClr val="black">
                    <a:alpha val="40000"/>
                  </a:prstClr>
                </a:outerShdw>
              </a:effectLst>
            </c:spPr>
          </c:dPt>
          <c:dLbls>
            <c:dLbl>
              <c:idx val="0"/>
              <c:layout/>
              <c:tx>
                <c:rich>
                  <a:bodyPr rot="0" spcFirstLastPara="0" vertOverflow="ellipsis" vert="horz" wrap="square" lIns="38100" tIns="19050" rIns="38100" bIns="19050" anchor="ctr" anchorCtr="1"/>
                  <a:lstStyle/>
                  <a:p>
                    <a:pPr defTabSz="914400">
                      <a:defRPr lang="zh-CN" sz="900" b="1"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rPr lang="en-US" altLang="zh-CN"/>
                      <a:t>99.99</a:t>
                    </a:r>
                    <a:r>
                      <a:t>%</a:t>
                    </a:r>
                  </a:p>
                </c:rich>
              </c:tx>
              <c:dLblPos val="ctr"/>
              <c:showLegendKey val="0"/>
              <c:showVal val="0"/>
              <c:showCatName val="0"/>
              <c:showSerName val="0"/>
              <c:showPercent val="1"/>
              <c:showBubbleSize val="0"/>
              <c:separator>
</c:separator>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1"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0</a:t>
                    </a:r>
                    <a:r>
                      <a:rPr lang="en-US" altLang="zh-CN"/>
                      <a:t>.01</a:t>
                    </a:r>
                    <a:r>
                      <a:t>%</a:t>
                    </a:r>
                  </a:p>
                </c:rich>
              </c:tx>
              <c:dLblPos val="ctr"/>
              <c:showLegendKey val="0"/>
              <c:showVal val="0"/>
              <c:showCatName val="0"/>
              <c:showSerName val="0"/>
              <c:showPercent val="1"/>
              <c:showBubbleSize val="0"/>
              <c:separator>
</c:separator>
              <c:extLst>
                <c:ext xmlns:c15="http://schemas.microsoft.com/office/drawing/2012/chart" uri="{CE6537A1-D6FC-4f65-9D91-7224C49458BB}"/>
              </c:extLst>
            </c:dLbl>
            <c:dLbl>
              <c:idx val="2"/>
              <c:layout/>
              <c:dLblPos val="ctr"/>
              <c:showLegendKey val="0"/>
              <c:showVal val="0"/>
              <c:showCatName val="0"/>
              <c:showSerName val="0"/>
              <c:showPercent val="1"/>
              <c:showBubbleSize val="0"/>
              <c:separator>
</c:separator>
              <c:extLst>
                <c:ext xmlns:c15="http://schemas.microsoft.com/office/drawing/2012/chart" uri="{CE6537A1-D6FC-4f65-9D91-7224C49458BB}"/>
              </c:extLst>
            </c:dLbl>
            <c:dLbl>
              <c:idx val="3"/>
              <c:layout/>
              <c:dLblPos val="ctr"/>
              <c:showLegendKey val="0"/>
              <c:showVal val="0"/>
              <c:showCatName val="0"/>
              <c:showSerName val="0"/>
              <c:showPercent val="1"/>
              <c:showBubbleSize val="0"/>
              <c:separator>
</c:separator>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forceAA="0"/>
              <a:lstStyle/>
              <a:p>
                <a:pPr>
                  <a:defRPr lang="zh-CN" sz="900" b="1"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一般公共预算财政拨款收入</c:v>
                </c:pt>
                <c:pt idx="1">
                  <c:v>其他收入</c:v>
                </c:pt>
              </c:strCache>
            </c:strRef>
          </c:cat>
          <c:val>
            <c:numRef>
              <c:f>Sheet1!$B$2:$B$5</c:f>
              <c:numCache>
                <c:formatCode>General</c:formatCode>
                <c:ptCount val="4"/>
                <c:pt idx="0">
                  <c:v>4752.48</c:v>
                </c:pt>
                <c:pt idx="1">
                  <c:v>0.18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l"/>
      <c:legendEntry>
        <c:idx val="2"/>
        <c:delete val="1"/>
      </c:legendEntry>
      <c:legendEntry>
        <c:idx val="3"/>
        <c:delete val="1"/>
      </c:legendEntry>
      <c:layout>
        <c:manualLayout>
          <c:xMode val="edge"/>
          <c:yMode val="edge"/>
          <c:x val="0.0160865750219362"/>
          <c:y val="0.373726246213164"/>
          <c:w val="0.202544603685288"/>
          <c:h val="0.352244560727072"/>
        </c:manualLayou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extLst>
      <c:ext uri="{0b15fc19-7d7d-44ad-8c2d-2c3a37ce22c3}">
        <chartProps xmlns="https://web.wps.cn/et/2018/main" chartId="{0d3b2c96-19d0-4aa4-8355-ba5b695ecb0d}"/>
      </c:ext>
    </c:extLst>
  </c:chart>
  <c:spPr>
    <a:blipFill rotWithShape="1">
      <a:blip xmlns:r="http://schemas.openxmlformats.org/officeDocument/2006/relationships" r:embed="rId2"/>
      <a:stretch>
        <a:fillRect/>
      </a:stretch>
    </a:blipFill>
    <a:ln w="9525" cap="flat" cmpd="sng" algn="ctr">
      <a:noFill/>
      <a:prstDash val="solid"/>
      <a:round/>
    </a:ln>
    <a:effectLst>
      <a:outerShdw blurRad="63500" dist="37357" dir="2700000" sx="0" sy="0" rotWithShape="0">
        <a:scrgbClr r="0" g="0" b="0"/>
      </a:outerShdw>
    </a:effectLst>
  </c:spPr>
  <c:txPr>
    <a:bodyPr/>
    <a:lstStyle/>
    <a:p>
      <a:pPr>
        <a:defRPr lang="zh-CN">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
        <c:rich>
          <a:bodyPr/>
          <a:lstStyle/>
          <a:p>
            <a:pPr>
              <a:defRPr/>
            </a:pPr>
          </a:p>
        </c:rich>
      </c:tx>
    </c:title>
    <c:autoTitleDeleted val="0"/>
    <c:plotArea>
      <c:layout>
        <c:manualLayout>
          <c:layoutTarget val="inner"/>
          <c:xMode val="edge"/>
          <c:yMode val="edge"/>
          <c:x val="0.29466791393826"/>
          <c:y val="0.186425541415495"/>
          <c:w val="0.424295068822665"/>
          <c:h val="0.708863585621791"/>
        </c:manualLayout>
      </c:layout>
      <c:pieChart>
        <c:varyColors val="1"/>
        <c:ser>
          <c:idx val="0"/>
          <c:order val="0"/>
          <c:tx>
            <c:strRef>
              <c:f>Sheet1!$B$1</c:f>
              <c:strCache>
                <c:ptCount val="1"/>
                <c:pt idx="0">
                  <c:v>列1</c:v>
                </c:pt>
              </c:strCache>
            </c:strRef>
          </c:tx>
          <c:spPr>
            <a:solidFill>
              <a:srgbClr val="384C91"/>
            </a:solidFill>
            <a:effectLst>
              <a:outerShdw blurRad="63500" sx="102000" sy="102000" algn="ctr" rotWithShape="0">
                <a:prstClr val="black">
                  <a:alpha val="40000"/>
                </a:prstClr>
              </a:outerShdw>
            </a:effectLst>
          </c:spPr>
          <c:explosion val="8"/>
          <c:dPt>
            <c:idx val="0"/>
            <c:bubble3D val="0"/>
            <c:spPr>
              <a:solidFill>
                <a:srgbClr val="ECC6B8"/>
              </a:solidFill>
              <a:ln>
                <a:noFill/>
              </a:ln>
              <a:effectLst>
                <a:outerShdw blurRad="63500" sx="102000" sy="102000" algn="ctr" rotWithShape="0">
                  <a:prstClr val="black">
                    <a:alpha val="40000"/>
                  </a:prstClr>
                </a:outerShdw>
              </a:effectLst>
            </c:spPr>
          </c:dPt>
          <c:dPt>
            <c:idx val="1"/>
            <c:bubble3D val="0"/>
            <c:spPr>
              <a:solidFill>
                <a:srgbClr val="B41D1E"/>
              </a:solidFill>
              <a:ln>
                <a:noFill/>
              </a:ln>
              <a:effectLst>
                <a:outerShdw blurRad="63500" sx="102000" sy="102000" algn="ctr" rotWithShape="0">
                  <a:prstClr val="black">
                    <a:alpha val="40000"/>
                  </a:prstClr>
                </a:outerShdw>
              </a:effectLst>
            </c:spPr>
          </c:dPt>
          <c:dPt>
            <c:idx val="2"/>
            <c:bubble3D val="0"/>
            <c:spPr>
              <a:solidFill>
                <a:srgbClr val="7085C8"/>
              </a:solidFill>
              <a:ln>
                <a:noFill/>
              </a:ln>
              <a:effectLst>
                <a:outerShdw blurRad="63500" sx="102000" sy="102000" algn="ctr" rotWithShape="0">
                  <a:prstClr val="black">
                    <a:alpha val="40000"/>
                  </a:prstClr>
                </a:outerShdw>
              </a:effectLst>
            </c:spPr>
          </c:dPt>
          <c:dPt>
            <c:idx val="3"/>
            <c:bubble3D val="0"/>
            <c:spPr>
              <a:solidFill>
                <a:srgbClr val="384C91"/>
              </a:solidFill>
              <a:ln>
                <a:noFill/>
              </a:ln>
              <a:effectLst>
                <a:outerShdw blurRad="63500" sx="102000" sy="102000" algn="ctr" rotWithShape="0">
                  <a:prstClr val="black">
                    <a:alpha val="40000"/>
                  </a:prstClr>
                </a:outerShdw>
              </a:effectLst>
            </c:spPr>
          </c:dPt>
          <c:dLbls>
            <c:dLbl>
              <c:idx val="0"/>
              <c:layout/>
              <c:dLblPos val="ctr"/>
              <c:showLegendKey val="0"/>
              <c:showVal val="0"/>
              <c:showCatName val="0"/>
              <c:showSerName val="0"/>
              <c:showPercent val="1"/>
              <c:showBubbleSize val="0"/>
              <c:separator>
</c:separator>
              <c:extLst>
                <c:ext xmlns:c15="http://schemas.microsoft.com/office/drawing/2012/chart" uri="{CE6537A1-D6FC-4f65-9D91-7224C49458BB}"/>
              </c:extLst>
            </c:dLbl>
            <c:dLbl>
              <c:idx val="1"/>
              <c:layout/>
              <c:dLblPos val="ctr"/>
              <c:showLegendKey val="0"/>
              <c:showVal val="0"/>
              <c:showCatName val="0"/>
              <c:showSerName val="0"/>
              <c:showPercent val="1"/>
              <c:showBubbleSize val="0"/>
              <c:separator>
</c:separator>
              <c:extLst>
                <c:ext xmlns:c15="http://schemas.microsoft.com/office/drawing/2012/chart" uri="{CE6537A1-D6FC-4f65-9D91-7224C49458BB}"/>
              </c:extLst>
            </c:dLbl>
            <c:dLbl>
              <c:idx val="2"/>
              <c:layout/>
              <c:dLblPos val="ctr"/>
              <c:showLegendKey val="0"/>
              <c:showVal val="0"/>
              <c:showCatName val="0"/>
              <c:showSerName val="0"/>
              <c:showPercent val="1"/>
              <c:showBubbleSize val="0"/>
              <c:separator>
</c:separator>
              <c:extLst>
                <c:ext xmlns:c15="http://schemas.microsoft.com/office/drawing/2012/chart" uri="{CE6537A1-D6FC-4f65-9D91-7224C49458BB}"/>
              </c:extLst>
            </c:dLbl>
            <c:dLbl>
              <c:idx val="3"/>
              <c:layout/>
              <c:dLblPos val="ctr"/>
              <c:showLegendKey val="0"/>
              <c:showVal val="0"/>
              <c:showCatName val="0"/>
              <c:showSerName val="0"/>
              <c:showPercent val="1"/>
              <c:showBubbleSize val="0"/>
              <c:separator>
</c:separator>
              <c:extLst>
                <c:ext xmlns:c15="http://schemas.microsoft.com/office/drawing/2012/chart" uri="{CE6537A1-D6FC-4f65-9D91-7224C49458BB}"/>
              </c:extLst>
            </c:dLbl>
            <c:numFmt formatCode="0.00%" sourceLinked="0"/>
            <c:spPr>
              <a:noFill/>
              <a:ln>
                <a:noFill/>
              </a:ln>
              <a:effectLst/>
            </c:spPr>
            <c:txPr>
              <a:bodyPr rot="0" spcFirstLastPara="0" vertOverflow="ellipsis" vert="horz" wrap="square" lIns="38100" tIns="19050" rIns="38100" bIns="19050" anchor="ctr" anchorCtr="1" forceAA="0"/>
              <a:lstStyle/>
              <a:p>
                <a:pPr>
                  <a:defRPr lang="zh-CN" sz="900" b="1"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项目支出</c:v>
                </c:pt>
                <c:pt idx="1">
                  <c:v>基本支出</c:v>
                </c:pt>
              </c:strCache>
            </c:strRef>
          </c:cat>
          <c:val>
            <c:numRef>
              <c:f>Sheet1!$B$2:$B$5</c:f>
              <c:numCache>
                <c:formatCode>General</c:formatCode>
                <c:ptCount val="4"/>
                <c:pt idx="0">
                  <c:v>1980.81</c:v>
                </c:pt>
                <c:pt idx="1">
                  <c:v>2771.85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l"/>
      <c:legendEntry>
        <c:idx val="2"/>
        <c:delete val="1"/>
      </c:legendEntry>
      <c:legendEntry>
        <c:idx val="3"/>
        <c:delete val="1"/>
      </c:legendEntry>
      <c:layout>
        <c:manualLayout>
          <c:xMode val="edge"/>
          <c:yMode val="edge"/>
          <c:x val="0.0160865750219362"/>
          <c:y val="0.37620490223079"/>
          <c:w val="0.261041240128693"/>
          <c:h val="0.346185623795098"/>
        </c:manualLayou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extLst>
      <c:ext uri="{0b15fc19-7d7d-44ad-8c2d-2c3a37ce22c3}">
        <chartProps xmlns="https://web.wps.cn/et/2018/main" chartId="{b6880dfd-66a6-4f33-b7cc-3e3494ba569f}"/>
      </c:ext>
    </c:extLst>
  </c:chart>
  <c:spPr>
    <a:blipFill rotWithShape="1">
      <a:blip xmlns:r="http://schemas.openxmlformats.org/officeDocument/2006/relationships" r:embed="rId2"/>
      <a:stretch>
        <a:fillRect/>
      </a:stretch>
    </a:blipFill>
    <a:ln w="9525" cap="flat" cmpd="sng" algn="ctr">
      <a:noFill/>
      <a:prstDash val="solid"/>
      <a:round/>
    </a:ln>
    <a:effectLst>
      <a:outerShdw blurRad="63500" dist="37357" dir="2700000" sx="0" sy="0" rotWithShape="0">
        <a:scrgbClr r="0" g="0" b="0"/>
      </a:outerShdw>
    </a:effectLst>
  </c:spPr>
  <c:txPr>
    <a:bodyPr/>
    <a:lstStyle/>
    <a:p>
      <a:pPr>
        <a:defRPr lang="zh-CN">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4072708113804"/>
          <c:y val="0.0287485907553551"/>
        </c:manualLayout>
      </c:layout>
      <c:overlay val="0"/>
      <c:spPr>
        <a:noFill/>
        <a:ln>
          <a:noFill/>
        </a:ln>
        <a:effectLst/>
      </c:spPr>
      <c:tx>
        <c:rich>
          <a:bodyPr/>
          <a:lstStyle/>
          <a:p>
            <a:pPr>
              <a:defRPr/>
            </a:pPr>
          </a:p>
        </c:rich>
      </c:tx>
    </c:title>
    <c:autoTitleDeleted val="0"/>
    <c:plotArea>
      <c:layout/>
      <c:barChart>
        <c:barDir val="col"/>
        <c:grouping val="clustered"/>
        <c:varyColors val="0"/>
        <c:ser>
          <c:idx val="0"/>
          <c:order val="0"/>
          <c:tx>
            <c:strRef>
              <c:f>Sheet1!$B$1</c:f>
              <c:strCache>
                <c:ptCount val="1"/>
                <c:pt idx="0">
                  <c:v/>
                </c:pt>
              </c:strCache>
            </c:strRef>
          </c:tx>
          <c:spPr>
            <a:blipFill>
              <a:blip xmlns:r="http://schemas.openxmlformats.org/officeDocument/2006/relationships" r:embed="rId2"/>
              <a:stretch>
                <a:fillRect/>
              </a:stretch>
            </a:blipFill>
            <a:ln w="3175">
              <a:solidFill>
                <a:schemeClr val="bg1"/>
              </a:solidFill>
            </a:ln>
            <a:effectLst/>
          </c:spPr>
          <c:invertIfNegative val="0"/>
          <c:pictureOptions>
            <c:pictureFormat val="stack"/>
          </c:pictureOptions>
          <c:dLbls>
            <c:spPr>
              <a:noFill/>
              <a:ln>
                <a:noFill/>
              </a:ln>
              <a:effectLst/>
            </c:spPr>
            <c:txPr>
              <a:bodyPr rot="0" spcFirstLastPara="0" vertOverflow="ellipsis" vert="horz" wrap="square" lIns="38100" tIns="19050" rIns="38100" bIns="19050" anchor="ctr" anchorCtr="1" forceAA="0"/>
              <a:lstStyle/>
              <a:p>
                <a:pPr>
                  <a:defRPr lang="zh-CN" sz="1050" b="1" i="0" u="none" strike="noStrike" kern="1200" baseline="0">
                    <a:solidFill>
                      <a:schemeClr val="bg1"/>
                    </a:solidFill>
                    <a:latin typeface="Arial" panose="020B0604020202020204" pitchFamily="2" charset="0"/>
                    <a:ea typeface="微软雅黑" panose="020B0503020204020204" charset="-122"/>
                    <a:cs typeface="Arial" panose="020B0604020202020204" pitchFamily="2" charset="0"/>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1">
                  <c:v>2024年总收支</c:v>
                </c:pt>
                <c:pt idx="2">
                  <c:v>2025年总收支</c:v>
                </c:pt>
              </c:strCache>
            </c:strRef>
          </c:cat>
          <c:val>
            <c:numRef>
              <c:f>Sheet1!$B$2:$B$5</c:f>
              <c:numCache>
                <c:formatCode>General</c:formatCode>
                <c:ptCount val="4"/>
              </c:numCache>
            </c:numRef>
          </c:val>
        </c:ser>
        <c:ser>
          <c:idx val="1"/>
          <c:order val="1"/>
          <c:tx>
            <c:strRef>
              <c:f>Sheet1!$C$1</c:f>
              <c:strCache>
                <c:ptCount val="1"/>
                <c:pt idx="0">
                  <c:v>2024年</c:v>
                </c:pt>
              </c:strCache>
            </c:strRef>
          </c:tx>
          <c:spPr>
            <a:blipFill>
              <a:blip xmlns:r="http://schemas.openxmlformats.org/officeDocument/2006/relationships" r:embed="rId3"/>
              <a:stretch>
                <a:fillRect/>
              </a:stretch>
            </a:blipFill>
            <a:ln w="3175">
              <a:solidFill>
                <a:schemeClr val="bg1"/>
              </a:solidFill>
            </a:ln>
            <a:effectLst/>
          </c:spPr>
          <c:invertIfNegative val="0"/>
          <c:pictureOptions>
            <c:pictureFormat val="stack"/>
          </c:pictureOptions>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Arial" panose="020B0604020202020204" pitchFamily="2" charset="0"/>
                    <a:ea typeface="微软雅黑" panose="020B0503020204020204" charset="-122"/>
                    <a:cs typeface="Arial" panose="020B0604020202020204" pitchFamily="2"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Sheet1!$A$2:$A$5</c:f>
              <c:strCache>
                <c:ptCount val="4"/>
                <c:pt idx="1">
                  <c:v>2024年总收支</c:v>
                </c:pt>
                <c:pt idx="2">
                  <c:v>2025年总收支</c:v>
                </c:pt>
              </c:strCache>
            </c:strRef>
          </c:cat>
          <c:val>
            <c:numRef>
              <c:f>Sheet1!$C$2:$C$5</c:f>
              <c:numCache>
                <c:formatCode>General</c:formatCode>
                <c:ptCount val="4"/>
                <c:pt idx="1">
                  <c:v>4398.24</c:v>
                </c:pt>
              </c:numCache>
            </c:numRef>
          </c:val>
        </c:ser>
        <c:ser>
          <c:idx val="2"/>
          <c:order val="2"/>
          <c:tx>
            <c:strRef>
              <c:f>Sheet1!$D$1</c:f>
              <c:strCache>
                <c:ptCount val="1"/>
                <c:pt idx="0">
                  <c:v>2025年</c:v>
                </c:pt>
              </c:strCache>
            </c:strRef>
          </c:tx>
          <c:spPr>
            <a:blipFill>
              <a:blip xmlns:r="http://schemas.openxmlformats.org/officeDocument/2006/relationships" r:embed="rId4"/>
              <a:stretch>
                <a:fillRect/>
              </a:stretch>
            </a:blipFill>
            <a:ln w="3175">
              <a:solidFill>
                <a:schemeClr val="bg1"/>
              </a:solidFill>
            </a:ln>
            <a:effectLst/>
          </c:spPr>
          <c:invertIfNegative val="0"/>
          <c:pictureOptions>
            <c:pictureFormat val="stack"/>
          </c:pictureOptions>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Arial" panose="020B0604020202020204" pitchFamily="2" charset="0"/>
                    <a:ea typeface="微软雅黑" panose="020B0503020204020204" charset="-122"/>
                    <a:cs typeface="Arial" panose="020B0604020202020204" pitchFamily="2"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Sheet1!$A$2:$A$5</c:f>
              <c:strCache>
                <c:ptCount val="4"/>
                <c:pt idx="1">
                  <c:v>2024年总收支</c:v>
                </c:pt>
                <c:pt idx="2">
                  <c:v>2025年总收支</c:v>
                </c:pt>
              </c:strCache>
            </c:strRef>
          </c:cat>
          <c:val>
            <c:numRef>
              <c:f>Sheet1!$D$2:$D$5</c:f>
              <c:numCache>
                <c:formatCode>General</c:formatCode>
                <c:ptCount val="4"/>
                <c:pt idx="2">
                  <c:v>4752.48</c:v>
                </c:pt>
              </c:numCache>
            </c:numRef>
          </c:val>
        </c:ser>
        <c:dLbls>
          <c:showLegendKey val="0"/>
          <c:showVal val="1"/>
          <c:showCatName val="0"/>
          <c:showSerName val="0"/>
          <c:showPercent val="0"/>
          <c:showBubbleSize val="0"/>
        </c:dLbls>
        <c:gapWidth val="160"/>
        <c:axId val="632020008"/>
        <c:axId val="156059363"/>
      </c:barChart>
      <c:catAx>
        <c:axId val="632020008"/>
        <c:scaling>
          <c:orientation val="minMax"/>
        </c:scaling>
        <c:delete val="0"/>
        <c:axPos val="b"/>
        <c:numFmt formatCode="General" sourceLinked="1"/>
        <c:majorTickMark val="none"/>
        <c:minorTickMark val="none"/>
        <c:tickLblPos val="nextTo"/>
        <c:spPr>
          <a:noFill/>
          <a:ln w="19050" cap="flat" cmpd="sng" algn="ctr">
            <a:noFill/>
            <a:prstDash val="solid"/>
            <a:round/>
          </a:ln>
          <a:effectLst/>
        </c:spPr>
        <c:txPr>
          <a:bodyPr rot="-60000000" spcFirstLastPara="0" vertOverflow="ellipsis" vert="horz" wrap="square" anchor="ctr" anchorCtr="1" forceAA="0"/>
          <a:lstStyle/>
          <a:p>
            <a:pPr>
              <a:defRPr lang="zh-CN" sz="900" b="0" i="0" u="none" strike="noStrike" kern="1200" baseline="0">
                <a:solidFill>
                  <a:schemeClr val="tx1">
                    <a:lumMod val="50000"/>
                    <a:lumOff val="50000"/>
                  </a:schemeClr>
                </a:solidFill>
                <a:latin typeface="Arial" panose="020B0604020202020204" pitchFamily="2" charset="0"/>
                <a:ea typeface="微软雅黑" panose="020B0503020204020204" charset="-122"/>
                <a:cs typeface="Arial" panose="020B0604020202020204" pitchFamily="2" charset="0"/>
              </a:defRPr>
            </a:pPr>
          </a:p>
        </c:txPr>
        <c:crossAx val="156059363"/>
        <c:crosses val="autoZero"/>
        <c:auto val="1"/>
        <c:lblAlgn val="ctr"/>
        <c:lblOffset val="100"/>
        <c:noMultiLvlLbl val="0"/>
      </c:catAx>
      <c:valAx>
        <c:axId val="156059363"/>
        <c:scaling>
          <c:orientation val="minMax"/>
        </c:scaling>
        <c:delete val="0"/>
        <c:axPos val="l"/>
        <c:majorGridlines>
          <c:spPr>
            <a:ln w="9525" cap="flat" cmpd="sng" algn="ctr">
              <a:solidFill>
                <a:schemeClr val="bg1">
                  <a:lumMod val="85000"/>
                </a:schemeClr>
              </a:solidFill>
              <a:prstDash val="solid"/>
              <a:round/>
            </a:ln>
            <a:effectLst/>
          </c:spPr>
        </c:majorGridlines>
        <c:minorGridlines>
          <c:spPr>
            <a:ln w="9525" cap="flat" cmpd="sng" algn="ctr">
              <a:solidFill>
                <a:schemeClr val="tx1">
                  <a:lumMod val="5000"/>
                  <a:lumOff val="95000"/>
                </a:schemeClr>
              </a:solidFill>
              <a:prstDash val="solid"/>
              <a:round/>
            </a:ln>
            <a:effectLst/>
          </c:spPr>
        </c:minorGridlines>
        <c:numFmt formatCode="General" sourceLinked="1"/>
        <c:majorTickMark val="out"/>
        <c:minorTickMark val="none"/>
        <c:tickLblPos val="nextTo"/>
        <c:spPr>
          <a:noFill/>
          <a:ln w="9525" cap="flat" cmpd="sng" algn="ctr">
            <a:noFill/>
            <a:prstDash val="solid"/>
            <a:round/>
          </a:ln>
          <a:effectLst/>
        </c:spPr>
        <c:txPr>
          <a:bodyPr rot="-60000000" spcFirstLastPara="0" vertOverflow="ellipsis" vert="horz" wrap="square" anchor="ctr" anchorCtr="1" forceAA="0"/>
          <a:lstStyle/>
          <a:p>
            <a:pPr>
              <a:defRPr lang="zh-CN" sz="900" b="0" i="0" u="none" strike="noStrike" kern="1200" baseline="0">
                <a:solidFill>
                  <a:schemeClr val="tx1">
                    <a:lumMod val="50000"/>
                    <a:lumOff val="50000"/>
                  </a:schemeClr>
                </a:solidFill>
                <a:latin typeface="Arial" panose="020B0604020202020204" pitchFamily="2" charset="0"/>
                <a:ea typeface="微软雅黑" panose="020B0503020204020204" charset="-122"/>
                <a:cs typeface="Arial" panose="020B0604020202020204" pitchFamily="2" charset="0"/>
              </a:defRPr>
            </a:pPr>
          </a:p>
        </c:txPr>
        <c:crossAx val="632020008"/>
        <c:crosses val="autoZero"/>
        <c:crossBetween val="between"/>
      </c:valAx>
      <c:spPr>
        <a:noFill/>
        <a:ln>
          <a:noFill/>
        </a:ln>
        <a:effectLst/>
      </c:spPr>
    </c:plotArea>
    <c:legend>
      <c:legendPos val="b"/>
      <c:legendEntry>
        <c:idx val="0"/>
        <c:delete val="1"/>
      </c:legendEntry>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50000"/>
                  <a:lumOff val="50000"/>
                </a:schemeClr>
              </a:solidFill>
              <a:latin typeface="Arial" panose="020B0604020202020204" pitchFamily="2" charset="0"/>
              <a:ea typeface="微软雅黑" panose="020B0503020204020204" charset="-122"/>
              <a:cs typeface="Arial" panose="020B0604020202020204" pitchFamily="2" charset="0"/>
            </a:defRPr>
          </a:pPr>
        </a:p>
      </c:txPr>
    </c:legend>
    <c:plotVisOnly val="1"/>
    <c:dispBlanksAs val="gap"/>
    <c:showDLblsOverMax val="0"/>
    <c:extLst>
      <c:ext uri="{0b15fc19-7d7d-44ad-8c2d-2c3a37ce22c3}">
        <chartProps xmlns="https://web.wps.cn/et/2018/main" chartId="{12abeced-5dfb-4d17-ab6a-192317e6a0e1}"/>
      </c:ext>
    </c:extLst>
  </c:chart>
  <c:spPr>
    <a:solidFill>
      <a:schemeClr val="bg1"/>
    </a:solidFill>
    <a:ln w="9525" cap="flat" cmpd="sng" algn="ctr">
      <a:solidFill>
        <a:schemeClr val="bg1">
          <a:lumMod val="95000"/>
        </a:schemeClr>
      </a:solidFill>
      <a:prstDash val="solid"/>
      <a:round/>
    </a:ln>
    <a:effectLst/>
  </c:spPr>
  <c:txPr>
    <a:bodyPr/>
    <a:lstStyle/>
    <a:p>
      <a:pPr>
        <a:defRPr lang="zh-CN">
          <a:solidFill>
            <a:srgbClr val="175A83"/>
          </a:solidFill>
          <a:latin typeface="Arial" panose="020B0604020202020204" pitchFamily="2" charset="0"/>
          <a:ea typeface="微软雅黑" panose="020B0503020204020204" charset="-122"/>
          <a:cs typeface="Arial" panose="020B0604020202020204" pitchFamily="2" charset="0"/>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4072708113804"/>
          <c:y val="0.0287485907553551"/>
        </c:manualLayout>
      </c:layout>
      <c:overlay val="0"/>
      <c:spPr>
        <a:noFill/>
        <a:ln>
          <a:noFill/>
        </a:ln>
        <a:effectLst/>
      </c:spPr>
      <c:tx>
        <c:rich>
          <a:bodyPr/>
          <a:lstStyle/>
          <a:p>
            <a:pPr>
              <a:defRPr/>
            </a:pPr>
          </a:p>
        </c:rich>
      </c:tx>
    </c:title>
    <c:autoTitleDeleted val="0"/>
    <c:plotArea>
      <c:layout/>
      <c:barChart>
        <c:barDir val="col"/>
        <c:grouping val="clustered"/>
        <c:varyColors val="0"/>
        <c:ser>
          <c:idx val="0"/>
          <c:order val="0"/>
          <c:tx>
            <c:strRef>
              <c:f>Sheet1!$B$1</c:f>
              <c:strCache>
                <c:ptCount val="1"/>
                <c:pt idx="0">
                  <c:v/>
                </c:pt>
              </c:strCache>
            </c:strRef>
          </c:tx>
          <c:spPr>
            <a:blipFill>
              <a:blip xmlns:r="http://schemas.openxmlformats.org/officeDocument/2006/relationships" r:embed="rId2"/>
              <a:stretch>
                <a:fillRect/>
              </a:stretch>
            </a:blipFill>
            <a:ln w="3175">
              <a:solidFill>
                <a:schemeClr val="bg1"/>
              </a:solidFill>
            </a:ln>
            <a:effectLst/>
          </c:spPr>
          <c:invertIfNegative val="0"/>
          <c:pictureOptions>
            <c:pictureFormat val="stack"/>
          </c:pictureOptions>
          <c:dLbls>
            <c:spPr>
              <a:noFill/>
              <a:ln>
                <a:noFill/>
              </a:ln>
              <a:effectLst/>
            </c:spPr>
            <c:txPr>
              <a:bodyPr rot="0" spcFirstLastPara="0" vertOverflow="ellipsis" vert="horz" wrap="square" lIns="38100" tIns="19050" rIns="38100" bIns="19050" anchor="ctr" anchorCtr="1" forceAA="0"/>
              <a:lstStyle/>
              <a:p>
                <a:pPr>
                  <a:defRPr lang="zh-CN" sz="1050" b="1" i="0" u="none" strike="noStrike" kern="1200" baseline="0">
                    <a:solidFill>
                      <a:schemeClr val="bg1"/>
                    </a:solidFill>
                    <a:latin typeface="Arial" panose="020B0604020202020204" pitchFamily="2" charset="0"/>
                    <a:ea typeface="微软雅黑" panose="020B0503020204020204" charset="-122"/>
                    <a:cs typeface="Arial" panose="020B0604020202020204" pitchFamily="2" charset="0"/>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numRef>
              <c:f>Sheet1!$A$2:$A$5</c:f>
              <c:numCache>
                <c:formatCode>General</c:formatCode>
                <c:ptCount val="4"/>
                <c:pt idx="1">
                  <c:v>2024</c:v>
                </c:pt>
                <c:pt idx="2">
                  <c:v>2025</c:v>
                </c:pt>
              </c:numCache>
            </c:numRef>
          </c:cat>
          <c:val>
            <c:numRef>
              <c:f>Sheet1!$B$2:$B$5</c:f>
              <c:numCache>
                <c:formatCode>General</c:formatCode>
                <c:ptCount val="4"/>
              </c:numCache>
            </c:numRef>
          </c:val>
        </c:ser>
        <c:ser>
          <c:idx val="1"/>
          <c:order val="1"/>
          <c:tx>
            <c:strRef>
              <c:f>Sheet1!$C$1</c:f>
              <c:strCache>
                <c:ptCount val="1"/>
                <c:pt idx="0">
                  <c:v>2024年</c:v>
                </c:pt>
              </c:strCache>
            </c:strRef>
          </c:tx>
          <c:spPr>
            <a:blipFill>
              <a:blip xmlns:r="http://schemas.openxmlformats.org/officeDocument/2006/relationships" r:embed="rId3"/>
              <a:stretch>
                <a:fillRect/>
              </a:stretch>
            </a:blipFill>
            <a:ln w="3175">
              <a:solidFill>
                <a:schemeClr val="bg1"/>
              </a:solidFill>
            </a:ln>
            <a:effectLst/>
          </c:spPr>
          <c:invertIfNegative val="0"/>
          <c:pictureOptions>
            <c:pictureFormat val="stack"/>
          </c:pictureOptions>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Arial" panose="020B0604020202020204" pitchFamily="2" charset="0"/>
                    <a:ea typeface="微软雅黑" panose="020B0503020204020204" charset="-122"/>
                    <a:cs typeface="Arial" panose="020B0604020202020204" pitchFamily="2"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numRef>
              <c:f>Sheet1!$A$2:$A$5</c:f>
              <c:numCache>
                <c:formatCode>General</c:formatCode>
                <c:ptCount val="4"/>
                <c:pt idx="1">
                  <c:v>2024</c:v>
                </c:pt>
                <c:pt idx="2">
                  <c:v>2025</c:v>
                </c:pt>
              </c:numCache>
            </c:numRef>
          </c:cat>
          <c:val>
            <c:numRef>
              <c:f>Sheet1!$C$2:$C$5</c:f>
              <c:numCache>
                <c:formatCode>General</c:formatCode>
                <c:ptCount val="4"/>
                <c:pt idx="1">
                  <c:v>4398.24</c:v>
                </c:pt>
              </c:numCache>
            </c:numRef>
          </c:val>
        </c:ser>
        <c:ser>
          <c:idx val="2"/>
          <c:order val="2"/>
          <c:tx>
            <c:strRef>
              <c:f>Sheet1!$D$1</c:f>
              <c:strCache>
                <c:ptCount val="1"/>
                <c:pt idx="0">
                  <c:v>2025年</c:v>
                </c:pt>
              </c:strCache>
            </c:strRef>
          </c:tx>
          <c:spPr>
            <a:blipFill>
              <a:blip xmlns:r="http://schemas.openxmlformats.org/officeDocument/2006/relationships" r:embed="rId4"/>
              <a:stretch>
                <a:fillRect/>
              </a:stretch>
            </a:blipFill>
            <a:ln w="3175">
              <a:solidFill>
                <a:schemeClr val="bg1"/>
              </a:solidFill>
            </a:ln>
            <a:effectLst/>
          </c:spPr>
          <c:invertIfNegative val="0"/>
          <c:pictureOptions>
            <c:pictureFormat val="stack"/>
          </c:pictureOptions>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Arial" panose="020B0604020202020204" pitchFamily="2" charset="0"/>
                    <a:ea typeface="微软雅黑" panose="020B0503020204020204" charset="-122"/>
                    <a:cs typeface="Arial" panose="020B0604020202020204" pitchFamily="2"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numRef>
              <c:f>Sheet1!$A$2:$A$5</c:f>
              <c:numCache>
                <c:formatCode>General</c:formatCode>
                <c:ptCount val="4"/>
                <c:pt idx="1">
                  <c:v>2024</c:v>
                </c:pt>
                <c:pt idx="2">
                  <c:v>2025</c:v>
                </c:pt>
              </c:numCache>
            </c:numRef>
          </c:cat>
          <c:val>
            <c:numRef>
              <c:f>Sheet1!$D$2:$D$5</c:f>
              <c:numCache>
                <c:formatCode>General</c:formatCode>
                <c:ptCount val="4"/>
                <c:pt idx="2">
                  <c:v>4752.48</c:v>
                </c:pt>
              </c:numCache>
            </c:numRef>
          </c:val>
        </c:ser>
        <c:dLbls>
          <c:showLegendKey val="0"/>
          <c:showVal val="1"/>
          <c:showCatName val="0"/>
          <c:showSerName val="0"/>
          <c:showPercent val="0"/>
          <c:showBubbleSize val="0"/>
        </c:dLbls>
        <c:gapWidth val="160"/>
        <c:axId val="632020008"/>
        <c:axId val="156059363"/>
      </c:barChart>
      <c:catAx>
        <c:axId val="632020008"/>
        <c:scaling>
          <c:orientation val="minMax"/>
        </c:scaling>
        <c:delete val="0"/>
        <c:axPos val="b"/>
        <c:numFmt formatCode="General" sourceLinked="1"/>
        <c:majorTickMark val="none"/>
        <c:minorTickMark val="none"/>
        <c:tickLblPos val="nextTo"/>
        <c:spPr>
          <a:noFill/>
          <a:ln w="19050" cap="flat" cmpd="sng" algn="ctr">
            <a:noFill/>
            <a:prstDash val="solid"/>
            <a:round/>
          </a:ln>
          <a:effectLst/>
        </c:spPr>
        <c:txPr>
          <a:bodyPr rot="-60000000" spcFirstLastPara="0" vertOverflow="ellipsis" vert="horz" wrap="square" anchor="ctr" anchorCtr="1" forceAA="0"/>
          <a:lstStyle/>
          <a:p>
            <a:pPr>
              <a:defRPr lang="zh-CN" sz="900" b="0" i="0" u="none" strike="noStrike" kern="1200" baseline="0">
                <a:solidFill>
                  <a:schemeClr val="tx1">
                    <a:lumMod val="50000"/>
                    <a:lumOff val="50000"/>
                  </a:schemeClr>
                </a:solidFill>
                <a:latin typeface="Arial" panose="020B0604020202020204" pitchFamily="2" charset="0"/>
                <a:ea typeface="微软雅黑" panose="020B0503020204020204" charset="-122"/>
                <a:cs typeface="Arial" panose="020B0604020202020204" pitchFamily="2" charset="0"/>
              </a:defRPr>
            </a:pPr>
          </a:p>
        </c:txPr>
        <c:crossAx val="156059363"/>
        <c:crosses val="autoZero"/>
        <c:auto val="1"/>
        <c:lblAlgn val="ctr"/>
        <c:lblOffset val="100"/>
        <c:noMultiLvlLbl val="0"/>
      </c:catAx>
      <c:valAx>
        <c:axId val="156059363"/>
        <c:scaling>
          <c:orientation val="minMax"/>
        </c:scaling>
        <c:delete val="0"/>
        <c:axPos val="l"/>
        <c:majorGridlines>
          <c:spPr>
            <a:ln w="9525" cap="flat" cmpd="sng" algn="ctr">
              <a:solidFill>
                <a:schemeClr val="bg1">
                  <a:lumMod val="85000"/>
                </a:schemeClr>
              </a:solidFill>
              <a:prstDash val="solid"/>
              <a:round/>
            </a:ln>
            <a:effectLst/>
          </c:spPr>
        </c:majorGridlines>
        <c:minorGridlines>
          <c:spPr>
            <a:ln w="9525" cap="flat" cmpd="sng" algn="ctr">
              <a:solidFill>
                <a:schemeClr val="tx1">
                  <a:lumMod val="5000"/>
                  <a:lumOff val="95000"/>
                </a:schemeClr>
              </a:solidFill>
              <a:prstDash val="solid"/>
              <a:round/>
            </a:ln>
            <a:effectLst/>
          </c:spPr>
        </c:minorGridlines>
        <c:numFmt formatCode="General" sourceLinked="1"/>
        <c:majorTickMark val="out"/>
        <c:minorTickMark val="none"/>
        <c:tickLblPos val="nextTo"/>
        <c:spPr>
          <a:noFill/>
          <a:ln w="9525" cap="flat" cmpd="sng" algn="ctr">
            <a:noFill/>
            <a:prstDash val="solid"/>
            <a:round/>
          </a:ln>
          <a:effectLst/>
        </c:spPr>
        <c:txPr>
          <a:bodyPr rot="-60000000" spcFirstLastPara="0" vertOverflow="ellipsis" vert="horz" wrap="square" anchor="ctr" anchorCtr="1" forceAA="0"/>
          <a:lstStyle/>
          <a:p>
            <a:pPr>
              <a:defRPr lang="zh-CN" sz="900" b="0" i="0" u="none" strike="noStrike" kern="1200" baseline="0">
                <a:solidFill>
                  <a:schemeClr val="tx1">
                    <a:lumMod val="50000"/>
                    <a:lumOff val="50000"/>
                  </a:schemeClr>
                </a:solidFill>
                <a:latin typeface="Arial" panose="020B0604020202020204" pitchFamily="2" charset="0"/>
                <a:ea typeface="微软雅黑" panose="020B0503020204020204" charset="-122"/>
                <a:cs typeface="Arial" panose="020B0604020202020204" pitchFamily="2" charset="0"/>
              </a:defRPr>
            </a:pPr>
          </a:p>
        </c:txPr>
        <c:crossAx val="632020008"/>
        <c:crosses val="autoZero"/>
        <c:crossBetween val="between"/>
      </c:valAx>
      <c:spPr>
        <a:noFill/>
        <a:ln>
          <a:noFill/>
        </a:ln>
        <a:effectLst/>
      </c:spPr>
    </c:plotArea>
    <c:legend>
      <c:legendPos val="b"/>
      <c:legendEntry>
        <c:idx val="0"/>
        <c:delete val="1"/>
      </c:legendEntry>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50000"/>
                  <a:lumOff val="50000"/>
                </a:schemeClr>
              </a:solidFill>
              <a:latin typeface="Arial" panose="020B0604020202020204" pitchFamily="2" charset="0"/>
              <a:ea typeface="微软雅黑" panose="020B0503020204020204" charset="-122"/>
              <a:cs typeface="Arial" panose="020B0604020202020204" pitchFamily="2" charset="0"/>
            </a:defRPr>
          </a:pPr>
        </a:p>
      </c:txPr>
    </c:legend>
    <c:plotVisOnly val="1"/>
    <c:dispBlanksAs val="gap"/>
    <c:showDLblsOverMax val="0"/>
    <c:extLst>
      <c:ext uri="{0b15fc19-7d7d-44ad-8c2d-2c3a37ce22c3}">
        <chartProps xmlns="https://web.wps.cn/et/2018/main" chartId="{66326116-758c-498f-b427-962a9a1019bb}"/>
      </c:ext>
    </c:extLst>
  </c:chart>
  <c:spPr>
    <a:solidFill>
      <a:schemeClr val="bg1"/>
    </a:solidFill>
    <a:ln w="9525" cap="flat" cmpd="sng" algn="ctr">
      <a:solidFill>
        <a:schemeClr val="bg1">
          <a:lumMod val="95000"/>
        </a:schemeClr>
      </a:solidFill>
      <a:prstDash val="solid"/>
      <a:round/>
    </a:ln>
    <a:effectLst/>
  </c:spPr>
  <c:txPr>
    <a:bodyPr/>
    <a:lstStyle/>
    <a:p>
      <a:pPr>
        <a:defRPr lang="zh-CN">
          <a:solidFill>
            <a:srgbClr val="175A83"/>
          </a:solidFill>
          <a:latin typeface="Arial" panose="020B0604020202020204" pitchFamily="2" charset="0"/>
          <a:ea typeface="微软雅黑" panose="020B0503020204020204" charset="-122"/>
          <a:cs typeface="Arial" panose="020B0604020202020204" pitchFamily="2" charset="0"/>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
        <c:rich>
          <a:bodyPr/>
          <a:lstStyle/>
          <a:p>
            <a:pPr>
              <a:defRPr/>
            </a:pPr>
          </a:p>
        </c:rich>
      </c:tx>
    </c:title>
    <c:autoTitleDeleted val="0"/>
    <c:plotArea>
      <c:layout>
        <c:manualLayout>
          <c:layoutTarget val="inner"/>
          <c:xMode val="edge"/>
          <c:yMode val="edge"/>
          <c:x val="0.29466791393826"/>
          <c:y val="0.186425541415495"/>
          <c:w val="0.424295068822665"/>
          <c:h val="0.708863585621791"/>
        </c:manualLayout>
      </c:layout>
      <c:pieChart>
        <c:varyColors val="1"/>
        <c:ser>
          <c:idx val="0"/>
          <c:order val="0"/>
          <c:tx>
            <c:strRef>
              <c:f>Sheet1!$B$1</c:f>
              <c:strCache>
                <c:ptCount val="1"/>
                <c:pt idx="0">
                  <c:v>列1</c:v>
                </c:pt>
              </c:strCache>
            </c:strRef>
          </c:tx>
          <c:spPr>
            <a:solidFill>
              <a:srgbClr val="384C91"/>
            </a:solidFill>
            <a:effectLst>
              <a:outerShdw blurRad="63500" sx="102000" sy="102000" algn="ctr" rotWithShape="0">
                <a:prstClr val="black">
                  <a:alpha val="40000"/>
                </a:prstClr>
              </a:outerShdw>
            </a:effectLst>
          </c:spPr>
          <c:explosion val="8"/>
          <c:dPt>
            <c:idx val="0"/>
            <c:bubble3D val="0"/>
            <c:spPr>
              <a:solidFill>
                <a:srgbClr val="ECC6B8"/>
              </a:solidFill>
              <a:ln>
                <a:noFill/>
              </a:ln>
              <a:effectLst>
                <a:outerShdw blurRad="63500" sx="102000" sy="102000" algn="ctr" rotWithShape="0">
                  <a:prstClr val="black">
                    <a:alpha val="40000"/>
                  </a:prstClr>
                </a:outerShdw>
              </a:effectLst>
            </c:spPr>
          </c:dPt>
          <c:dPt>
            <c:idx val="1"/>
            <c:bubble3D val="0"/>
            <c:spPr>
              <a:solidFill>
                <a:srgbClr val="B41D1E"/>
              </a:solidFill>
              <a:ln>
                <a:noFill/>
              </a:ln>
              <a:effectLst>
                <a:outerShdw blurRad="63500" sx="102000" sy="102000" algn="ctr" rotWithShape="0">
                  <a:prstClr val="black">
                    <a:alpha val="40000"/>
                  </a:prstClr>
                </a:outerShdw>
              </a:effectLst>
            </c:spPr>
          </c:dPt>
          <c:dPt>
            <c:idx val="2"/>
            <c:bubble3D val="0"/>
            <c:spPr>
              <a:solidFill>
                <a:srgbClr val="7085C8"/>
              </a:solidFill>
              <a:ln>
                <a:noFill/>
              </a:ln>
              <a:effectLst>
                <a:outerShdw blurRad="63500" sx="102000" sy="102000" algn="ctr" rotWithShape="0">
                  <a:prstClr val="black">
                    <a:alpha val="40000"/>
                  </a:prstClr>
                </a:outerShdw>
              </a:effectLst>
            </c:spPr>
          </c:dPt>
          <c:dPt>
            <c:idx val="3"/>
            <c:bubble3D val="0"/>
            <c:spPr>
              <a:solidFill>
                <a:srgbClr val="384C91"/>
              </a:solidFill>
              <a:ln>
                <a:noFill/>
              </a:ln>
              <a:effectLst>
                <a:outerShdw blurRad="63500" sx="102000" sy="102000" algn="ctr" rotWithShape="0">
                  <a:prstClr val="black">
                    <a:alpha val="40000"/>
                  </a:prstClr>
                </a:outerShdw>
              </a:effectLst>
            </c:spPr>
          </c:dPt>
          <c:dLbls>
            <c:dLbl>
              <c:idx val="0"/>
              <c:layout>
                <c:manualLayout>
                  <c:x val="0.0364996260284218"/>
                  <c:y val="-0.251284825534217"/>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0700278283319665"/>
                  <c:y val="0.17779410220813"/>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0498583044764957"/>
                  <c:y val="-0.0166390018142017"/>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0.323955353917134"/>
                  <c:y val="0.0127863954837686"/>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numFmt formatCode="0.00%" sourceLinked="0"/>
            <c:spPr>
              <a:noFill/>
              <a:ln w="9525" cap="flat" cmpd="sng" algn="ctr">
                <a:solidFill>
                  <a:prstClr val="black"/>
                </a:solidFill>
                <a:prstDash val="dash"/>
              </a:ln>
              <a:effectLst/>
              <a:sp3d>
                <a:extrusionClr>
                  <a:srgbClr val="FFFFFF"/>
                </a:extrusionClr>
                <a:contourClr>
                  <a:srgbClr val="FFFFFF"/>
                </a:contourClr>
              </a:sp3d>
            </c:spPr>
            <c:txPr>
              <a:bodyPr rot="0" spcFirstLastPara="0" vertOverflow="ellipsis" vert="horz" wrap="square" lIns="38100" tIns="19050" rIns="38100" bIns="19050" anchor="ctr" anchorCtr="1" forceAA="0"/>
              <a:lstStyle/>
              <a:p>
                <a:pPr>
                  <a:defRPr lang="zh-CN" sz="900" b="1" i="0" u="none" strike="noStrike" kern="1200" baseline="0">
                    <a:solidFill>
                      <a:schemeClr val="tx1"/>
                    </a:solidFill>
                    <a:latin typeface="+mn-lt"/>
                    <a:ea typeface="+mn-ea"/>
                    <a:cs typeface="+mn-cs"/>
                    <a:sym typeface="微软雅黑" panose="020B0503020204020204" charset="-122"/>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3937.92</c:v>
                </c:pt>
                <c:pt idx="1">
                  <c:v>475.73</c:v>
                </c:pt>
                <c:pt idx="2">
                  <c:v>152.36</c:v>
                </c:pt>
                <c:pt idx="3">
                  <c:v>186.48</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4b77e44e-33b6-470c-8f50-4c34a47a12eb}"/>
      </c:ext>
    </c:extLst>
  </c:chart>
  <c:spPr>
    <a:blipFill rotWithShape="1">
      <a:blip xmlns:r="http://schemas.openxmlformats.org/officeDocument/2006/relationships" r:embed="rId2"/>
      <a:stretch>
        <a:fillRect/>
      </a:stretch>
    </a:blipFill>
    <a:ln w="9525" cap="flat" cmpd="sng" algn="ctr">
      <a:noFill/>
      <a:prstDash val="solid"/>
      <a:round/>
    </a:ln>
    <a:effectLst>
      <a:outerShdw blurRad="63500" dist="37357" dir="2700000" sx="0" sy="0" rotWithShape="0">
        <a:scrgbClr r="0" g="0" b="0"/>
      </a:outerShdw>
    </a:effectLst>
  </c:spPr>
  <c:txPr>
    <a:bodyPr/>
    <a:lstStyle/>
    <a:p>
      <a:pPr>
        <a:defRPr lang="zh-CN">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9466791393826"/>
          <c:y val="0.186425541415495"/>
          <c:w val="0.424295068822665"/>
          <c:h val="0.708863585621791"/>
        </c:manualLayout>
      </c:layout>
      <c:pieChart>
        <c:varyColors val="1"/>
        <c:ser>
          <c:idx val="0"/>
          <c:order val="0"/>
          <c:tx>
            <c:strRef>
              <c:f>Sheet1!$B$1</c:f>
              <c:strCache>
                <c:ptCount val="1"/>
                <c:pt idx="0">
                  <c:v>因公出国（境）费支出</c:v>
                </c:pt>
              </c:strCache>
            </c:strRef>
          </c:tx>
          <c:spPr>
            <a:solidFill>
              <a:srgbClr val="384C91"/>
            </a:solidFill>
            <a:effectLst>
              <a:outerShdw blurRad="63500" sx="102000" sy="102000" algn="ctr" rotWithShape="0">
                <a:prstClr val="black">
                  <a:alpha val="40000"/>
                </a:prstClr>
              </a:outerShdw>
            </a:effectLst>
          </c:spPr>
          <c:explosion val="8"/>
          <c:dPt>
            <c:idx val="0"/>
            <c:bubble3D val="0"/>
            <c:spPr>
              <a:solidFill>
                <a:srgbClr val="ECC6B8"/>
              </a:solidFill>
              <a:ln>
                <a:noFill/>
              </a:ln>
              <a:effectLst>
                <a:outerShdw blurRad="63500" sx="102000" sy="102000" algn="ctr" rotWithShape="0">
                  <a:prstClr val="black">
                    <a:alpha val="40000"/>
                  </a:prstClr>
                </a:outerShdw>
              </a:effectLst>
            </c:spPr>
          </c:dPt>
          <c:dPt>
            <c:idx val="1"/>
            <c:bubble3D val="0"/>
            <c:spPr>
              <a:solidFill>
                <a:srgbClr val="B41D1E"/>
              </a:solidFill>
              <a:ln>
                <a:noFill/>
              </a:ln>
              <a:effectLst>
                <a:outerShdw blurRad="63500" sx="102000" sy="102000" algn="ctr" rotWithShape="0">
                  <a:prstClr val="black">
                    <a:alpha val="40000"/>
                  </a:prstClr>
                </a:outerShdw>
              </a:effectLst>
            </c:spPr>
          </c:dPt>
          <c:dPt>
            <c:idx val="2"/>
            <c:bubble3D val="0"/>
            <c:spPr>
              <a:solidFill>
                <a:srgbClr val="7085C8"/>
              </a:solidFill>
              <a:ln>
                <a:noFill/>
              </a:ln>
              <a:effectLst>
                <a:outerShdw blurRad="63500" sx="102000" sy="102000" algn="ctr" rotWithShape="0">
                  <a:prstClr val="black">
                    <a:alpha val="40000"/>
                  </a:prstClr>
                </a:outerShdw>
              </a:effectLst>
            </c:spPr>
          </c:dPt>
          <c:dPt>
            <c:idx val="3"/>
            <c:bubble3D val="0"/>
            <c:spPr>
              <a:solidFill>
                <a:srgbClr val="384C91"/>
              </a:solidFill>
              <a:ln>
                <a:noFill/>
              </a:ln>
              <a:effectLst>
                <a:outerShdw blurRad="63500" sx="102000" sy="102000" algn="ctr" rotWithShape="0">
                  <a:prstClr val="black">
                    <a:alpha val="40000"/>
                  </a:prstClr>
                </a:outerShdw>
              </a:effectLst>
            </c:spPr>
          </c:dPt>
          <c:dLbls>
            <c:dLbl>
              <c:idx val="0"/>
              <c:layout>
                <c:manualLayout>
                  <c:x val="0.178545542401546"/>
                  <c:y val="0.0284742881427964"/>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1"/>
              <c:layout>
                <c:manualLayout>
                  <c:x val="0.170451799951679"/>
                  <c:y val="-0.0495112622184445"/>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162349602180289"/>
                  <c:y val="0.0763008133394429"/>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numFmt formatCode="0.00%" sourceLinked="0"/>
            <c:spPr>
              <a:noFill/>
              <a:ln w="9525" cap="flat" cmpd="sng" algn="ctr">
                <a:solidFill>
                  <a:schemeClr val="accent1"/>
                </a:solidFill>
                <a:prstDash val="dash"/>
              </a:ln>
              <a:effectLst/>
            </c:spPr>
            <c:txPr>
              <a:bodyPr rot="0" spcFirstLastPara="0" vertOverflow="ellipsis" vert="horz" wrap="square" lIns="38100" tIns="19050" rIns="38100" bIns="19050" anchor="ctr" anchorCtr="1" forceAA="0"/>
              <a:lstStyle/>
              <a:p>
                <a:pPr>
                  <a:defRPr lang="zh-CN" sz="900" b="1" i="0" u="none" strike="noStrike" kern="1200" baseline="0">
                    <a:solidFill>
                      <a:schemeClr val="tx1"/>
                    </a:solidFill>
                    <a:latin typeface="+mn-lt"/>
                    <a:ea typeface="+mn-ea"/>
                    <a:cs typeface="+mn-cs"/>
                    <a:sym typeface="微软雅黑" panose="020B0503020204020204" charset="-122"/>
                  </a:defRPr>
                </a:pPr>
              </a:p>
            </c:txPr>
            <c:dLblPos val="bestFit"/>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因公出国（境）费支出</c:v>
                </c:pt>
                <c:pt idx="1">
                  <c:v>公务用车购置及运行维护费支出</c:v>
                </c:pt>
                <c:pt idx="2">
                  <c:v>公务接待费支出</c:v>
                </c:pt>
              </c:strCache>
            </c:strRef>
          </c:cat>
          <c:val>
            <c:numRef>
              <c:f>Sheet1!$B$2:$B$5</c:f>
              <c:numCache>
                <c:formatCode>General</c:formatCode>
                <c:ptCount val="4"/>
                <c:pt idx="0">
                  <c:v>0</c:v>
                </c:pt>
                <c:pt idx="1">
                  <c:v>23.71</c:v>
                </c:pt>
                <c:pt idx="2">
                  <c:v>2.41</c:v>
                </c:pt>
              </c:numCache>
            </c:numRef>
          </c:val>
        </c:ser>
        <c:ser>
          <c:idx val="1"/>
          <c:order val="1"/>
          <c:tx>
            <c:strRef>
              <c:f>Sheet1!$C$1</c:f>
              <c:strCache>
                <c:ptCount val="1"/>
                <c:pt idx="0">
                  <c:v>公务用车购置及运行维护费支出</c:v>
                </c:pt>
              </c:strCache>
            </c:strRef>
          </c:tx>
          <c:spPr>
            <a:solidFill>
              <a:srgbClr val="384C91"/>
            </a:solidFill>
            <a:effectLst>
              <a:outerShdw blurRad="63500" sx="102000" sy="102000" algn="ctr" rotWithShape="0">
                <a:prstClr val="black">
                  <a:alpha val="40000"/>
                </a:prstClr>
              </a:outerShdw>
            </a:effectLst>
          </c:spPr>
          <c:explosion val="8"/>
          <c:dPt>
            <c:idx val="0"/>
            <c:bubble3D val="0"/>
            <c:spPr>
              <a:solidFill>
                <a:srgbClr val="ECC6B8"/>
              </a:solidFill>
              <a:ln>
                <a:noFill/>
              </a:ln>
              <a:effectLst>
                <a:outerShdw blurRad="63500" sx="102000" sy="102000" algn="ctr" rotWithShape="0">
                  <a:prstClr val="black">
                    <a:alpha val="40000"/>
                  </a:prstClr>
                </a:outerShdw>
              </a:effectLst>
            </c:spPr>
          </c:dPt>
          <c:dPt>
            <c:idx val="1"/>
            <c:bubble3D val="0"/>
            <c:spPr>
              <a:solidFill>
                <a:srgbClr val="B41D1E"/>
              </a:solidFill>
              <a:ln>
                <a:noFill/>
              </a:ln>
              <a:effectLst>
                <a:outerShdw blurRad="63500" sx="102000" sy="102000" algn="ctr" rotWithShape="0">
                  <a:prstClr val="black">
                    <a:alpha val="40000"/>
                  </a:prstClr>
                </a:outerShdw>
              </a:effectLst>
            </c:spPr>
          </c:dPt>
          <c:dPt>
            <c:idx val="2"/>
            <c:bubble3D val="0"/>
            <c:spPr>
              <a:solidFill>
                <a:srgbClr val="7085C8"/>
              </a:solidFill>
              <a:ln>
                <a:noFill/>
              </a:ln>
              <a:effectLst>
                <a:outerShdw blurRad="63500" sx="102000" sy="102000" algn="ctr" rotWithShape="0">
                  <a:prstClr val="black">
                    <a:alpha val="40000"/>
                  </a:prstClr>
                </a:outerShdw>
              </a:effectLst>
            </c:spPr>
          </c:dPt>
          <c:dPt>
            <c:idx val="3"/>
            <c:bubble3D val="0"/>
            <c:spPr>
              <a:solidFill>
                <a:srgbClr val="384C91"/>
              </a:solidFill>
              <a:ln>
                <a:noFill/>
              </a:ln>
              <a:effectLst>
                <a:outerShdw blurRad="63500" sx="102000" sy="102000" algn="ctr" rotWithShape="0">
                  <a:prstClr val="black">
                    <a:alpha val="40000"/>
                  </a:prstClr>
                </a:outerShdw>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因公出国（境）费支出</c:v>
                </c:pt>
                <c:pt idx="1">
                  <c:v>公务用车购置及运行维护费支出</c:v>
                </c:pt>
                <c:pt idx="2">
                  <c:v>公务接待费支出</c:v>
                </c:pt>
              </c:strCache>
            </c:strRef>
          </c:cat>
          <c:val>
            <c:numRef>
              <c:f>Sheet1!$C$2:$C$5</c:f>
              <c:numCache>
                <c:formatCode>General</c:formatCode>
                <c:ptCount val="4"/>
              </c:numCache>
            </c:numRef>
          </c:val>
        </c:ser>
        <c:ser>
          <c:idx val="2"/>
          <c:order val="2"/>
          <c:tx>
            <c:strRef>
              <c:f>Sheet1!$D$1</c:f>
              <c:strCache>
                <c:ptCount val="1"/>
                <c:pt idx="0">
                  <c:v>公务接待费支出</c:v>
                </c:pt>
              </c:strCache>
            </c:strRef>
          </c:tx>
          <c:spPr>
            <a:solidFill>
              <a:srgbClr val="384C91"/>
            </a:solidFill>
            <a:effectLst>
              <a:outerShdw blurRad="63500" sx="102000" sy="102000" algn="ctr" rotWithShape="0">
                <a:prstClr val="black">
                  <a:alpha val="40000"/>
                </a:prstClr>
              </a:outerShdw>
            </a:effectLst>
          </c:spPr>
          <c:explosion val="8"/>
          <c:dPt>
            <c:idx val="0"/>
            <c:bubble3D val="0"/>
            <c:spPr>
              <a:solidFill>
                <a:srgbClr val="ECC6B8"/>
              </a:solidFill>
              <a:ln>
                <a:noFill/>
              </a:ln>
              <a:effectLst>
                <a:outerShdw blurRad="63500" sx="102000" sy="102000" algn="ctr" rotWithShape="0">
                  <a:prstClr val="black">
                    <a:alpha val="40000"/>
                  </a:prstClr>
                </a:outerShdw>
              </a:effectLst>
            </c:spPr>
          </c:dPt>
          <c:dPt>
            <c:idx val="1"/>
            <c:bubble3D val="0"/>
            <c:spPr>
              <a:solidFill>
                <a:srgbClr val="B41D1E"/>
              </a:solidFill>
              <a:ln>
                <a:noFill/>
              </a:ln>
              <a:effectLst>
                <a:outerShdw blurRad="63500" sx="102000" sy="102000" algn="ctr" rotWithShape="0">
                  <a:prstClr val="black">
                    <a:alpha val="40000"/>
                  </a:prstClr>
                </a:outerShdw>
              </a:effectLst>
            </c:spPr>
          </c:dPt>
          <c:dPt>
            <c:idx val="2"/>
            <c:bubble3D val="0"/>
            <c:spPr>
              <a:solidFill>
                <a:srgbClr val="7085C8"/>
              </a:solidFill>
              <a:ln>
                <a:noFill/>
              </a:ln>
              <a:effectLst>
                <a:outerShdw blurRad="63500" sx="102000" sy="102000" algn="ctr" rotWithShape="0">
                  <a:prstClr val="black">
                    <a:alpha val="40000"/>
                  </a:prstClr>
                </a:outerShdw>
              </a:effectLst>
            </c:spPr>
          </c:dPt>
          <c:dPt>
            <c:idx val="3"/>
            <c:bubble3D val="0"/>
            <c:spPr>
              <a:solidFill>
                <a:srgbClr val="384C91"/>
              </a:solidFill>
              <a:ln>
                <a:noFill/>
              </a:ln>
              <a:effectLst>
                <a:outerShdw blurRad="63500" sx="102000" sy="102000" algn="ctr" rotWithShape="0">
                  <a:prstClr val="black">
                    <a:alpha val="40000"/>
                  </a:prstClr>
                </a:outerShdw>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因公出国（境）费支出</c:v>
                </c:pt>
                <c:pt idx="1">
                  <c:v>公务用车购置及运行维护费支出</c:v>
                </c:pt>
                <c:pt idx="2">
                  <c:v>公务接待费支出</c:v>
                </c:pt>
              </c:strCache>
            </c:strRef>
          </c:cat>
          <c:val>
            <c:numRef>
              <c:f>Sheet1!$D$2:$D$5</c:f>
              <c:numCache>
                <c:formatCode>General</c:formatCode>
                <c:ptCount val="4"/>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extLst>
      <c:ext uri="{0b15fc19-7d7d-44ad-8c2d-2c3a37ce22c3}">
        <chartProps xmlns="https://web.wps.cn/et/2018/main" chartId="{9ecfc05e-7faf-4718-92b4-4e860187f219}"/>
      </c:ext>
    </c:extLst>
  </c:chart>
  <c:spPr>
    <a:blipFill rotWithShape="1">
      <a:blip xmlns:r="http://schemas.openxmlformats.org/officeDocument/2006/relationships" r:embed="rId2"/>
      <a:stretch>
        <a:fillRect/>
      </a:stretch>
    </a:blipFill>
    <a:ln w="9525" cap="flat" cmpd="sng" algn="ctr">
      <a:noFill/>
      <a:round/>
    </a:ln>
    <a:effectLst>
      <a:outerShdw blurRad="63500" dist="37357" dir="2700000" sx="0" sy="0" rotWithShape="0">
        <a:scrgbClr r="0" g="0" b="0"/>
      </a:outerShdw>
    </a:effectLst>
  </c:spPr>
  <c:txPr>
    <a:bodyPr/>
    <a:lstStyle/>
    <a:p>
      <a:pPr>
        <a:defRPr lang="zh-CN">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27</Pages>
  <Words>9460</Words>
  <Characters>10219</Characters>
  <Lines>61</Lines>
  <Paragraphs>17</Paragraphs>
  <TotalTime>225</TotalTime>
  <ScaleCrop>false</ScaleCrop>
  <LinksUpToDate>false</LinksUpToDate>
  <CharactersWithSpaces>10338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2020-08-08T17:49:00Z</dcterms:created>
  <dc:creator>曹颖</dc:creator>
  <cp:lastModifiedBy>栈言</cp:lastModifiedBy>
  <cp:lastPrinted>2026-08-28T07:47:00Z</cp:lastPrinted>
  <dcterms:modified xsi:type="dcterms:W3CDTF">2026-08-31T00:18:18Z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400D301575C74348A5277D00A7902E06</vt:lpwstr>
  </property>
  <property fmtid="{D5CDD505-2E9C-101B-9397-08002B2CF9AE}" pid="4" name="KSOTemplateDocerSaveRecord">
    <vt:lpwstr>eyJoZGlkIjoiYTA1YTIwNTZlY2M5YmQ0ZTlmOTgwMGFlZWI4NWVmMTIiLCJ1c2VySWQiOiI0NDg5Mjc5ODEifQ==</vt:lpwstr>
  </property>
</Properties>
</file>