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F8DD7">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77425"/>
      <w:bookmarkStart w:id="2" w:name="_Toc15396597"/>
      <w:bookmarkStart w:id="3" w:name="_Toc15396475"/>
      <w:bookmarkStart w:id="4" w:name="_Toc15377193"/>
      <w:bookmarkStart w:id="5" w:name="_Toc15306267"/>
    </w:p>
    <w:p w14:paraId="078568B5">
      <w:pPr>
        <w:pStyle w:val="6"/>
        <w:rPr>
          <w:rFonts w:hint="eastAsia" w:ascii="Times New Roman" w:hAnsi="Times New Roman" w:eastAsia="方正小标宋简体" w:cs="Times New Roman"/>
          <w:color w:val="auto"/>
          <w:kern w:val="2"/>
          <w:sz w:val="72"/>
          <w:szCs w:val="72"/>
          <w:highlight w:val="none"/>
          <w:lang w:val="en-US" w:eastAsia="zh-CN" w:bidi="ar-SA"/>
        </w:rPr>
      </w:pPr>
    </w:p>
    <w:p w14:paraId="46863F98">
      <w:pPr>
        <w:pStyle w:val="6"/>
        <w:rPr>
          <w:rFonts w:hint="eastAsia" w:ascii="Times New Roman" w:hAnsi="Times New Roman" w:eastAsia="方正小标宋简体" w:cs="Times New Roman"/>
          <w:color w:val="auto"/>
          <w:kern w:val="2"/>
          <w:sz w:val="72"/>
          <w:szCs w:val="72"/>
          <w:highlight w:val="none"/>
          <w:lang w:val="en-US" w:eastAsia="zh-CN" w:bidi="ar-SA"/>
        </w:rPr>
      </w:pPr>
    </w:p>
    <w:p w14:paraId="50ABA7CF">
      <w:pPr>
        <w:pStyle w:val="6"/>
        <w:jc w:val="center"/>
        <w:rPr>
          <w:rFonts w:hint="eastAsia"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2024年度市级单位</w:t>
      </w:r>
    </w:p>
    <w:p w14:paraId="78863490">
      <w:pPr>
        <w:pStyle w:val="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eastAsia"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中共攀枝花市纪检监察教育培训与信息中心</w:t>
      </w:r>
    </w:p>
    <w:p w14:paraId="274D4922">
      <w:pPr>
        <w:pStyle w:val="6"/>
        <w:jc w:val="center"/>
        <w:rPr>
          <w:rFonts w:ascii="Times New Roman" w:hAnsi="Times New Roman"/>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方正小标宋_GBK" w:hAnsi="方正小标宋_GBK" w:eastAsia="方正小标宋_GBK" w:cs="方正小标宋_GBK"/>
          <w:b/>
          <w:bCs/>
          <w:color w:val="auto"/>
          <w:kern w:val="2"/>
          <w:sz w:val="44"/>
          <w:szCs w:val="44"/>
          <w:highlight w:val="none"/>
          <w:lang w:val="en-US" w:eastAsia="zh-CN" w:bidi="ar-SA"/>
        </w:rPr>
        <w:t>决算公开编制说明</w:t>
      </w:r>
    </w:p>
    <w:bookmarkEnd w:id="0"/>
    <w:bookmarkEnd w:id="1"/>
    <w:bookmarkEnd w:id="2"/>
    <w:bookmarkEnd w:id="3"/>
    <w:bookmarkEnd w:id="4"/>
    <w:bookmarkEnd w:id="5"/>
    <w:p w14:paraId="1D55BA52">
      <w:pPr>
        <w:widowControl/>
        <w:jc w:val="center"/>
        <w:rPr>
          <w:rFonts w:ascii="Times New Roman" w:hAnsi="Times New Roman" w:eastAsia="黑体" w:cstheme="minorBidi"/>
          <w:color w:val="auto"/>
          <w:sz w:val="28"/>
          <w:szCs w:val="28"/>
          <w:highlight w:val="none"/>
        </w:rPr>
      </w:pPr>
      <w:r>
        <w:rPr>
          <w:rFonts w:hint="eastAsia" w:ascii="Times New Roman" w:hAnsi="Times New Roman" w:eastAsia="黑体"/>
          <w:color w:val="auto"/>
          <w:sz w:val="48"/>
          <w:szCs w:val="48"/>
          <w:highlight w:val="none"/>
        </w:rPr>
        <w:t>目录</w:t>
      </w:r>
      <w:bookmarkStart w:id="99" w:name="_GoBack"/>
      <w:bookmarkEnd w:id="99"/>
    </w:p>
    <w:p w14:paraId="6CBE6ADF">
      <w:pPr>
        <w:pStyle w:val="13"/>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81050"/>
        <w15:color w:val="DBDBDB"/>
        <w:docPartObj>
          <w:docPartGallery w:val="Table of Contents"/>
          <w:docPartUnique/>
        </w:docPartObj>
      </w:sdtPr>
      <w:sdtEndPr>
        <w:rPr>
          <w:rFonts w:hint="eastAsia" w:ascii="宋体" w:hAnsi="宋体" w:eastAsia="宋体" w:cs="Times New Roman"/>
          <w:kern w:val="2"/>
          <w:sz w:val="21"/>
          <w:szCs w:val="24"/>
          <w:lang w:val="en-US" w:eastAsia="zh-CN" w:bidi="ar-SA"/>
        </w:rPr>
      </w:sdtEndPr>
      <w:sdtContent>
        <w:p w14:paraId="16171630">
          <w:pPr>
            <w:pStyle w:val="13"/>
          </w:pPr>
        </w:p>
        <w:p w14:paraId="7FD83F82">
          <w:pPr>
            <w:pStyle w:val="13"/>
            <w:tabs>
              <w:tab w:val="right" w:leader="dot" w:pos="8306"/>
              <w:tab w:val="clear" w:pos="8296"/>
            </w:tabs>
            <w:spacing w:line="240" w:lineRule="auto"/>
            <w:rPr>
              <w:rFonts w:hint="default" w:ascii="Times New Roman" w:hAnsi="Times New Roman" w:cs="Times New Roman"/>
              <w:sz w:val="32"/>
              <w:szCs w:val="32"/>
            </w:rPr>
          </w:pPr>
          <w:r>
            <w:rPr>
              <w:rFonts w:hint="eastAsia"/>
              <w:lang w:eastAsia="zh-CN"/>
            </w:rPr>
            <w:fldChar w:fldCharType="begin"/>
          </w:r>
          <w:r>
            <w:rPr>
              <w:rFonts w:hint="eastAsia"/>
              <w:lang w:eastAsia="zh-CN"/>
            </w:rPr>
            <w:instrText xml:space="preserve">TOC \o "1-3" \h \u </w:instrText>
          </w:r>
          <w:r>
            <w:rPr>
              <w:rFonts w:hint="eastAsia"/>
              <w:lang w:eastAsia="zh-CN"/>
            </w:rPr>
            <w:fldChar w:fldCharType="separate"/>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_Toc32759 </w:instrText>
          </w:r>
          <w:r>
            <w:rPr>
              <w:rFonts w:hint="default" w:ascii="Times New Roman" w:hAnsi="Times New Roman" w:cs="Times New Roman"/>
              <w:sz w:val="32"/>
              <w:szCs w:val="32"/>
              <w:lang w:eastAsia="zh-CN"/>
            </w:rPr>
            <w:fldChar w:fldCharType="separate"/>
          </w:r>
          <w:r>
            <w:rPr>
              <w:rFonts w:hint="default" w:ascii="Times New Roman" w:hAnsi="Times New Roman" w:eastAsia="方正小标宋简体" w:cs="Times New Roman"/>
              <w:sz w:val="32"/>
              <w:szCs w:val="32"/>
              <w:highlight w:val="none"/>
            </w:rPr>
            <w:t>第一部分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 xml:space="preserve"> </w:t>
          </w:r>
          <w:r>
            <w:rPr>
              <w:rFonts w:hint="default" w:ascii="Times New Roman" w:hAnsi="Times New Roman" w:eastAsia="方正小标宋简体" w:cs="Times New Roman"/>
              <w:bCs w:val="0"/>
              <w:sz w:val="32"/>
              <w:szCs w:val="32"/>
              <w:highlight w:val="none"/>
              <w:lang w:eastAsia="zh-CN"/>
            </w:rPr>
            <w:t>单位</w:t>
          </w:r>
          <w:r>
            <w:rPr>
              <w:rFonts w:hint="default" w:ascii="Times New Roman" w:hAnsi="Times New Roman" w:eastAsia="方正小标宋简体" w:cs="Times New Roman"/>
              <w:bCs w:val="0"/>
              <w:sz w:val="32"/>
              <w:szCs w:val="32"/>
              <w:highlight w:val="none"/>
            </w:rPr>
            <w:t>概况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_Toc32759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68A8C387">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_Toc23142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highlight w:val="none"/>
              <w:lang w:val="en-US" w:eastAsia="zh-CN"/>
            </w:rPr>
            <w:t>单位</w:t>
          </w:r>
          <w:r>
            <w:rPr>
              <w:rFonts w:hint="default" w:ascii="Times New Roman" w:hAnsi="Times New Roman" w:eastAsia="方正仿宋_GBK" w:cs="Times New Roman"/>
              <w:sz w:val="32"/>
              <w:szCs w:val="32"/>
              <w:highlight w:val="none"/>
              <w:lang w:eastAsia="zh-CN"/>
            </w:rPr>
            <w:t>职责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_Toc23142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1B303B77">
          <w:pPr>
            <w:pStyle w:val="15"/>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_Toc18437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二、机</w:t>
          </w:r>
          <w:r>
            <w:rPr>
              <w:rFonts w:hint="default" w:ascii="Times New Roman" w:hAnsi="Times New Roman" w:eastAsia="方正仿宋_GBK" w:cs="Times New Roman"/>
              <w:bCs w:val="0"/>
              <w:sz w:val="32"/>
              <w:szCs w:val="32"/>
              <w:highlight w:val="none"/>
            </w:rPr>
            <w:t>构设置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_Toc18437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14570A6">
          <w:pPr>
            <w:pStyle w:val="13"/>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_Toc5718 </w:instrText>
          </w:r>
          <w:r>
            <w:rPr>
              <w:rFonts w:hint="default" w:ascii="Times New Roman" w:hAnsi="Times New Roman" w:cs="Times New Roman"/>
              <w:sz w:val="32"/>
              <w:szCs w:val="32"/>
              <w:lang w:eastAsia="zh-CN"/>
            </w:rPr>
            <w:fldChar w:fldCharType="separate"/>
          </w:r>
          <w:r>
            <w:rPr>
              <w:rFonts w:hint="default" w:ascii="Times New Roman" w:hAnsi="Times New Roman" w:eastAsia="方正小标宋简体" w:cs="Times New Roman"/>
              <w:sz w:val="32"/>
              <w:szCs w:val="32"/>
              <w:highlight w:val="none"/>
            </w:rPr>
            <w:t>第二部分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 xml:space="preserve"> </w:t>
          </w:r>
          <w:r>
            <w:rPr>
              <w:rFonts w:hint="default" w:ascii="Times New Roman" w:hAnsi="Times New Roman" w:eastAsia="方正小标宋简体" w:cs="Times New Roman"/>
              <w:sz w:val="32"/>
              <w:szCs w:val="32"/>
              <w:highlight w:val="none"/>
              <w:lang w:val="en-US" w:eastAsia="zh-CN"/>
            </w:rPr>
            <w:t>2024年度</w:t>
          </w:r>
          <w:r>
            <w:rPr>
              <w:rFonts w:hint="default" w:ascii="Times New Roman" w:hAnsi="Times New Roman" w:eastAsia="方正小标宋简体" w:cs="Times New Roman"/>
              <w:sz w:val="32"/>
              <w:szCs w:val="32"/>
              <w:highlight w:val="none"/>
              <w:lang w:eastAsia="zh-CN"/>
            </w:rPr>
            <w:t>单位</w:t>
          </w:r>
          <w:r>
            <w:rPr>
              <w:rFonts w:hint="default" w:ascii="Times New Roman" w:hAnsi="Times New Roman" w:eastAsia="方正小标宋简体" w:cs="Times New Roman"/>
              <w:sz w:val="32"/>
              <w:szCs w:val="32"/>
              <w:highlight w:val="none"/>
            </w:rPr>
            <w:t>决算情况说明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_Toc5718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5C5B30F1">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_Toc31748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lang w:eastAsia="zh-CN"/>
            </w:rPr>
            <w:t>一、</w:t>
          </w:r>
          <w:r>
            <w:rPr>
              <w:rFonts w:hint="default" w:ascii="Times New Roman" w:hAnsi="Times New Roman" w:eastAsia="方正仿宋_GBK" w:cs="Times New Roman"/>
              <w:sz w:val="32"/>
              <w:szCs w:val="32"/>
              <w:highlight w:val="none"/>
            </w:rPr>
            <w:t>收入支出决算总体情况说明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_Toc31748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352E649">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_Toc22154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lang w:eastAsia="zh-CN"/>
            </w:rPr>
            <w:t>二、收入决算情况说明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_Toc22154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374A1E34">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_Toc27645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_Toc27645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9C02BD9">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_Toc9603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四、财政拨款收入支出决算总体情况说明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_Toc9603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10115E1C">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_Toc4225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五、一般公共预算财政拨款支出决算情况说明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_Toc4225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21155610">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_Toc14660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六、一般公共预算财政拨款基本支出决算情况说明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_Toc14660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7233D5A">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_Toc12406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rPr>
            <w:t>七、财政拨款“三公”经费支出决算情况说明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_Toc12406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206A19C">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_Toc10843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rPr>
            <w:t>八、政府性基金预算支出决算情况说明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_Toc10843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7965155E">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_Toc17003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rPr>
            <w:t>九、国有资本经营预算支出决算情况说明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_Toc17003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3D9B2965">
          <w:pPr>
            <w:pStyle w:val="15"/>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_Toc15473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lang w:eastAsia="zh-CN"/>
            </w:rPr>
            <w:t>十、</w:t>
          </w:r>
          <w:r>
            <w:rPr>
              <w:rFonts w:hint="default" w:ascii="Times New Roman" w:hAnsi="Times New Roman" w:eastAsia="方正仿宋_GBK" w:cs="Times New Roman"/>
              <w:sz w:val="32"/>
              <w:szCs w:val="32"/>
              <w:highlight w:val="none"/>
            </w:rPr>
            <w:t>其他重要事项的情况说明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_Toc15473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39C074CF">
          <w:pPr>
            <w:pStyle w:val="13"/>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_Toc19822 </w:instrText>
          </w:r>
          <w:r>
            <w:rPr>
              <w:rFonts w:hint="default" w:ascii="Times New Roman" w:hAnsi="Times New Roman" w:cs="Times New Roman"/>
              <w:sz w:val="32"/>
              <w:szCs w:val="32"/>
              <w:lang w:eastAsia="zh-CN"/>
            </w:rPr>
            <w:fldChar w:fldCharType="separate"/>
          </w:r>
          <w:r>
            <w:rPr>
              <w:rFonts w:hint="default" w:ascii="Times New Roman" w:hAnsi="Times New Roman" w:eastAsia="方正小标宋简体" w:cs="Times New Roman"/>
              <w:sz w:val="32"/>
              <w:szCs w:val="32"/>
              <w:highlight w:val="none"/>
            </w:rPr>
            <w:t>第</w:t>
          </w:r>
          <w:r>
            <w:rPr>
              <w:rFonts w:hint="default" w:ascii="Times New Roman" w:hAnsi="Times New Roman" w:eastAsia="方正小标宋简体" w:cs="Times New Roman"/>
              <w:sz w:val="32"/>
              <w:szCs w:val="32"/>
              <w:highlight w:val="none"/>
              <w:lang w:eastAsia="zh-CN"/>
            </w:rPr>
            <w:t>三</w:t>
          </w:r>
          <w:r>
            <w:rPr>
              <w:rFonts w:hint="default" w:ascii="Times New Roman" w:hAnsi="Times New Roman" w:eastAsia="方正小标宋简体" w:cs="Times New Roman"/>
              <w:sz w:val="32"/>
              <w:szCs w:val="32"/>
              <w:highlight w:val="none"/>
            </w:rPr>
            <w:t>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名词解释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_Toc19822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14</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5D40A054">
          <w:pPr>
            <w:pStyle w:val="13"/>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_Toc3131 </w:instrText>
          </w:r>
          <w:r>
            <w:rPr>
              <w:rFonts w:hint="default" w:ascii="Times New Roman" w:hAnsi="Times New Roman" w:cs="Times New Roman"/>
              <w:sz w:val="32"/>
              <w:szCs w:val="32"/>
              <w:lang w:eastAsia="zh-CN"/>
            </w:rPr>
            <w:fldChar w:fldCharType="separate"/>
          </w:r>
          <w:r>
            <w:rPr>
              <w:rFonts w:hint="default" w:ascii="Times New Roman" w:hAnsi="Times New Roman" w:eastAsia="黑体" w:cs="Times New Roman"/>
              <w:bCs/>
              <w:sz w:val="32"/>
              <w:szCs w:val="32"/>
              <w:lang w:val="en-US" w:eastAsia="zh-CN"/>
            </w:rPr>
            <w:t xml:space="preserve">第四部分  </w:t>
          </w:r>
          <w:r>
            <w:rPr>
              <w:rFonts w:hint="default" w:ascii="Times New Roman" w:hAnsi="Times New Roman" w:eastAsia="黑体" w:cs="Times New Roman"/>
              <w:bCs/>
              <w:sz w:val="32"/>
              <w:szCs w:val="32"/>
            </w:rPr>
            <w:t>附件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_Toc3131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17</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0CB6FEB6">
          <w:pPr>
            <w:pStyle w:val="13"/>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_Toc28090 </w:instrText>
          </w:r>
          <w:r>
            <w:rPr>
              <w:rFonts w:hint="default" w:ascii="Times New Roman" w:hAnsi="Times New Roman" w:cs="Times New Roman"/>
              <w:sz w:val="32"/>
              <w:szCs w:val="32"/>
              <w:lang w:eastAsia="zh-CN"/>
            </w:rPr>
            <w:fldChar w:fldCharType="separate"/>
          </w:r>
          <w:r>
            <w:rPr>
              <w:rFonts w:hint="default" w:ascii="Times New Roman" w:hAnsi="Times New Roman" w:eastAsia="方正小标宋简体" w:cs="Times New Roman"/>
              <w:sz w:val="32"/>
              <w:szCs w:val="32"/>
              <w:highlight w:val="none"/>
            </w:rPr>
            <w:t>第五部分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 xml:space="preserve"> 附表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_Toc28090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5622CA38">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_Toc22008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一、收入支出决算总表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_Toc22008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994B6BE">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_Toc957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二、收入决算表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_Toc957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09A33E9">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_Toc24805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三、支出决算表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_Toc24805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51E9A34F">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_Toc2103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四、财政拨款收入支出决算总表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_Toc2103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4745CE72">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_Toc16207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五、财政拨款支出决算明细表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_Toc16207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247F7AC7">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_Toc5775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六、一般公共预算财政拨款支出决算表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_Toc5775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380C8469">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_Toc20518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七、一般公共预算财政拨款支出决算明细表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_Toc20518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7F82AAA0">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_Toc1678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八、一般公共预算财政拨款基本支出决算表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_Toc1678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20152EE">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_Toc5697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九、一般公共预算财政拨款项目支出决算表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_Toc5697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BCBBF7B">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_Toc30999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十、政府性基金预算财政拨款收入支出决算表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_Toc30999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2DF7761">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_Toc23222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十一、国有资本经营预算</w:t>
          </w:r>
          <w:r>
            <w:rPr>
              <w:rFonts w:hint="default" w:ascii="Times New Roman" w:hAnsi="Times New Roman" w:eastAsia="方正仿宋_GBK" w:cs="Times New Roman"/>
              <w:sz w:val="32"/>
              <w:szCs w:val="32"/>
              <w:highlight w:val="none"/>
              <w:lang w:eastAsia="zh-CN"/>
            </w:rPr>
            <w:t>财政拨款收入</w:t>
          </w:r>
          <w:r>
            <w:rPr>
              <w:rFonts w:hint="default" w:ascii="Times New Roman" w:hAnsi="Times New Roman" w:eastAsia="方正仿宋_GBK" w:cs="Times New Roman"/>
              <w:sz w:val="32"/>
              <w:szCs w:val="32"/>
              <w:highlight w:val="none"/>
            </w:rPr>
            <w:t>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_Toc23222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8B9E47D">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_Toc6052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十二、</w:t>
          </w:r>
          <w:r>
            <w:rPr>
              <w:rFonts w:hint="default" w:ascii="Times New Roman" w:hAnsi="Times New Roman" w:eastAsia="方正仿宋_GBK" w:cs="Times New Roman"/>
              <w:sz w:val="32"/>
              <w:szCs w:val="32"/>
              <w:highlight w:val="none"/>
              <w:lang w:eastAsia="zh-CN"/>
            </w:rPr>
            <w:t>国有资本经营预算财政拨款支出决算表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_Toc6052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1792406A">
          <w:pPr>
            <w:pStyle w:val="9"/>
            <w:tabs>
              <w:tab w:val="right" w:leader="dot" w:pos="8306"/>
              <w:tab w:val="clear" w:pos="8296"/>
            </w:tabs>
            <w:spacing w:line="240" w:lineRule="auto"/>
            <w:ind w:left="0" w:leftChars="0" w:firstLine="419" w:firstLineChars="131"/>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_Toc31470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十三、</w:t>
          </w:r>
          <w:r>
            <w:rPr>
              <w:rFonts w:hint="default" w:ascii="Times New Roman" w:hAnsi="Times New Roman" w:eastAsia="方正仿宋_GBK" w:cs="Times New Roman"/>
              <w:sz w:val="32"/>
              <w:szCs w:val="32"/>
              <w:highlight w:val="none"/>
              <w:lang w:eastAsia="zh-CN"/>
            </w:rPr>
            <w:t>财政拨款“三公”经费支出决算表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_Toc31470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140B34C">
          <w:pPr>
            <w:bidi w:val="0"/>
            <w:rPr>
              <w:rFonts w:hint="eastAsia"/>
              <w:lang w:val="en-US" w:eastAsia="zh-CN"/>
            </w:rPr>
          </w:pPr>
          <w:r>
            <w:rPr>
              <w:rFonts w:hint="eastAsia"/>
              <w:lang w:eastAsia="zh-CN"/>
            </w:rPr>
            <w:fldChar w:fldCharType="end"/>
          </w:r>
        </w:p>
      </w:sdtContent>
    </w:sdt>
    <w:p w14:paraId="278C42C7">
      <w:pPr>
        <w:rPr>
          <w:rFonts w:hint="eastAsia"/>
          <w:lang w:eastAsia="zh-CN"/>
        </w:rPr>
      </w:pPr>
    </w:p>
    <w:p w14:paraId="14244A2A">
      <w:pPr>
        <w:pStyle w:val="3"/>
        <w:spacing w:line="240" w:lineRule="auto"/>
        <w:jc w:val="center"/>
        <w:rPr>
          <w:rFonts w:hint="eastAsia" w:ascii="Times New Roman" w:hAnsi="Times New Roman" w:eastAsia="方正小标宋简体" w:cs="方正小标宋简体"/>
          <w:b w:val="0"/>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bookmarkStart w:id="6" w:name="_Toc32759"/>
      <w:bookmarkStart w:id="7" w:name="_Toc15396599"/>
      <w:bookmarkStart w:id="8" w:name="_Toc15377196"/>
      <w:bookmarkStart w:id="9" w:name="_Toc4599"/>
    </w:p>
    <w:p w14:paraId="22D019C6">
      <w:pPr>
        <w:pStyle w:val="3"/>
        <w:spacing w:line="240" w:lineRule="auto"/>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bookmarkEnd w:id="8"/>
      <w:bookmarkEnd w:id="9"/>
    </w:p>
    <w:p w14:paraId="4DEAF3CB">
      <w:pPr>
        <w:widowControl/>
        <w:spacing w:line="240" w:lineRule="auto"/>
        <w:jc w:val="left"/>
        <w:rPr>
          <w:rFonts w:ascii="Times New Roman" w:hAnsi="Times New Roman" w:eastAsia="黑体"/>
          <w:color w:val="auto"/>
          <w:sz w:val="32"/>
          <w:szCs w:val="32"/>
          <w:highlight w:val="none"/>
        </w:rPr>
      </w:pPr>
    </w:p>
    <w:p w14:paraId="15F036F7">
      <w:pPr>
        <w:pStyle w:val="4"/>
        <w:numPr>
          <w:ilvl w:val="0"/>
          <w:numId w:val="1"/>
        </w:numPr>
        <w:spacing w:line="240" w:lineRule="auto"/>
        <w:rPr>
          <w:rFonts w:hint="eastAsia" w:ascii="Times New Roman" w:hAnsi="Times New Roman" w:eastAsia="黑体"/>
          <w:b w:val="0"/>
          <w:color w:val="auto"/>
          <w:highlight w:val="none"/>
          <w:lang w:eastAsia="zh-CN"/>
        </w:rPr>
      </w:pPr>
      <w:bookmarkStart w:id="10" w:name="_Toc23142"/>
      <w:r>
        <w:rPr>
          <w:rFonts w:hint="eastAsia" w:ascii="Times New Roman" w:hAnsi="Times New Roman" w:eastAsia="黑体"/>
          <w:b w:val="0"/>
          <w:color w:val="auto"/>
          <w:highlight w:val="none"/>
          <w:lang w:val="en-US" w:eastAsia="zh-CN"/>
        </w:rPr>
        <w:t>单位</w:t>
      </w:r>
      <w:r>
        <w:rPr>
          <w:rFonts w:hint="eastAsia" w:ascii="Times New Roman" w:hAnsi="Times New Roman" w:eastAsia="黑体"/>
          <w:b w:val="0"/>
          <w:color w:val="auto"/>
          <w:highlight w:val="none"/>
          <w:lang w:eastAsia="zh-CN"/>
        </w:rPr>
        <w:t>职责</w:t>
      </w:r>
      <w:bookmarkEnd w:id="10"/>
    </w:p>
    <w:p w14:paraId="6C1D772B">
      <w:pPr>
        <w:pageBreakBefore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eastAsia="方正仿宋_GBK"/>
          <w:sz w:val="32"/>
          <w:szCs w:val="32"/>
          <w:lang w:val="en-US" w:eastAsia="zh-CN"/>
        </w:rPr>
        <w:t>中共</w:t>
      </w:r>
      <w:r>
        <w:rPr>
          <w:rFonts w:eastAsia="方正仿宋_GBK"/>
          <w:sz w:val="32"/>
          <w:szCs w:val="32"/>
        </w:rPr>
        <w:t>攀枝花市纪检监察教育培训与信息中心</w:t>
      </w:r>
      <w:r>
        <w:rPr>
          <w:rFonts w:hint="eastAsia" w:eastAsia="方正仿宋_GBK"/>
          <w:sz w:val="32"/>
          <w:szCs w:val="32"/>
        </w:rPr>
        <w:t>（市监委留置中心）</w:t>
      </w:r>
      <w:r>
        <w:rPr>
          <w:rFonts w:eastAsia="方正仿宋_GBK"/>
          <w:sz w:val="32"/>
          <w:szCs w:val="32"/>
        </w:rPr>
        <w:t>，承担全市纪检监察</w:t>
      </w:r>
      <w:r>
        <w:rPr>
          <w:rFonts w:hint="eastAsia" w:eastAsia="方正仿宋_GBK"/>
          <w:sz w:val="32"/>
          <w:szCs w:val="32"/>
        </w:rPr>
        <w:t>系统信息化建设服务、纪检监察干部的教育培训</w:t>
      </w:r>
      <w:r>
        <w:rPr>
          <w:rFonts w:eastAsia="方正仿宋_GBK"/>
          <w:sz w:val="32"/>
          <w:szCs w:val="32"/>
        </w:rPr>
        <w:t>和查办党纪政纪案件的后勤保障服务工作</w:t>
      </w:r>
      <w:r>
        <w:rPr>
          <w:rFonts w:hint="eastAsia" w:eastAsia="方正仿宋_GBK"/>
          <w:sz w:val="32"/>
          <w:szCs w:val="32"/>
        </w:rPr>
        <w:t>，同时负责攀枝花市监委留置场所接纳、安置对象工作和场所的日常管理、安全保卫等后勤服务保障工作</w:t>
      </w:r>
      <w:r>
        <w:rPr>
          <w:rFonts w:eastAsia="方正仿宋_GBK"/>
          <w:sz w:val="32"/>
          <w:szCs w:val="32"/>
        </w:rPr>
        <w:t>。</w:t>
      </w:r>
    </w:p>
    <w:p w14:paraId="35FE2716">
      <w:pPr>
        <w:pStyle w:val="4"/>
        <w:spacing w:line="240" w:lineRule="auto"/>
        <w:rPr>
          <w:rStyle w:val="29"/>
          <w:rFonts w:ascii="Times New Roman" w:hAnsi="Times New Roman"/>
          <w:b w:val="0"/>
          <w:bCs w:val="0"/>
          <w:color w:val="auto"/>
          <w:highlight w:val="none"/>
        </w:rPr>
      </w:pPr>
      <w:bookmarkStart w:id="11" w:name="_Toc15396601"/>
      <w:bookmarkStart w:id="12" w:name="_Toc15377200"/>
      <w:bookmarkStart w:id="13" w:name="_Toc18437"/>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1"/>
      <w:bookmarkEnd w:id="12"/>
      <w:bookmarkEnd w:id="13"/>
    </w:p>
    <w:p w14:paraId="77338BD2">
      <w:pPr>
        <w:spacing w:line="240" w:lineRule="auto"/>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中共四川省攀枝花市纪检监察教育培训与信息中心</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b/>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b/>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b/>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4415A57A">
      <w:pPr>
        <w:spacing w:line="240" w:lineRule="auto"/>
        <w:ind w:firstLine="800" w:firstLineChars="25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没有</w:t>
      </w:r>
      <w:r>
        <w:rPr>
          <w:rFonts w:hint="eastAsia" w:ascii="仿宋_GB2312" w:hAnsi="仿宋_GB2312" w:eastAsia="仿宋_GB2312" w:cs="仿宋_GB2312"/>
          <w:color w:val="auto"/>
          <w:sz w:val="32"/>
          <w:szCs w:val="32"/>
          <w:highlight w:val="none"/>
        </w:rPr>
        <w:t>纳入中共四川省攀枝花市纪检监察教育培训与信息中心</w:t>
      </w:r>
      <w:r>
        <w:rPr>
          <w:rFonts w:hint="eastAsia" w:ascii="仿宋_GB2312" w:hAnsi="仿宋_GB2312" w:eastAsia="仿宋_GB2312" w:cs="仿宋_GB2312"/>
          <w:b/>
          <w:bCs/>
          <w:color w:val="auto"/>
          <w:sz w:val="32"/>
          <w:szCs w:val="32"/>
          <w:highlight w:val="none"/>
          <w:lang w:eastAsia="zh-CN"/>
        </w:rPr>
        <w:t>2024</w:t>
      </w:r>
      <w:r>
        <w:rPr>
          <w:rFonts w:hint="eastAsia" w:ascii="仿宋_GB2312" w:hAnsi="仿宋_GB2312" w:eastAsia="仿宋_GB2312" w:cs="仿宋_GB2312"/>
          <w:color w:val="auto"/>
          <w:sz w:val="32"/>
          <w:szCs w:val="32"/>
          <w:highlight w:val="none"/>
          <w:lang w:eastAsia="zh-CN"/>
        </w:rPr>
        <w:t>年度单位</w:t>
      </w:r>
      <w:r>
        <w:rPr>
          <w:rFonts w:hint="eastAsia" w:ascii="仿宋_GB2312" w:hAnsi="仿宋_GB2312" w:eastAsia="仿宋_GB2312" w:cs="仿宋_GB2312"/>
          <w:color w:val="auto"/>
          <w:sz w:val="32"/>
          <w:szCs w:val="32"/>
          <w:highlight w:val="none"/>
        </w:rPr>
        <w:t>决算编制范围的二级预算单位</w:t>
      </w:r>
      <w:r>
        <w:rPr>
          <w:rFonts w:hint="eastAsia" w:ascii="仿宋_GB2312" w:hAnsi="仿宋_GB2312" w:eastAsia="仿宋_GB2312" w:cs="仿宋_GB2312"/>
          <w:color w:val="auto"/>
          <w:sz w:val="32"/>
          <w:szCs w:val="32"/>
          <w:highlight w:val="none"/>
          <w:lang w:eastAsia="zh-CN"/>
        </w:rPr>
        <w:t>。</w:t>
      </w:r>
    </w:p>
    <w:p w14:paraId="4A8E7A90">
      <w:pPr>
        <w:pStyle w:val="6"/>
        <w:adjustRightInd w:val="0"/>
        <w:snapToGrid w:val="0"/>
        <w:spacing w:before="93" w:line="240" w:lineRule="auto"/>
        <w:ind w:firstLine="1120" w:firstLineChars="350"/>
        <w:rPr>
          <w:rFonts w:hint="eastAsia" w:ascii="Times New Roman" w:cs="仿宋_GB2312"/>
          <w:color w:val="auto"/>
          <w:sz w:val="32"/>
          <w:szCs w:val="32"/>
          <w:highlight w:val="none"/>
          <w:lang w:eastAsia="zh-CN"/>
        </w:rPr>
      </w:pPr>
    </w:p>
    <w:p w14:paraId="5D630FE0">
      <w:pPr>
        <w:bidi w:val="0"/>
      </w:pPr>
    </w:p>
    <w:p w14:paraId="5ECE7C4E">
      <w:pPr>
        <w:bidi w:val="0"/>
      </w:pPr>
    </w:p>
    <w:p w14:paraId="592407DA">
      <w:pPr>
        <w:bidi w:val="0"/>
      </w:pPr>
    </w:p>
    <w:p w14:paraId="26F5DE82">
      <w:pPr>
        <w:bidi w:val="0"/>
      </w:pPr>
    </w:p>
    <w:p w14:paraId="7651466D">
      <w:pPr>
        <w:bidi w:val="0"/>
      </w:pPr>
    </w:p>
    <w:p w14:paraId="05879D87">
      <w:pPr>
        <w:bidi w:val="0"/>
      </w:pPr>
    </w:p>
    <w:p w14:paraId="092CD0D8">
      <w:pPr>
        <w:bidi w:val="0"/>
      </w:pPr>
    </w:p>
    <w:p w14:paraId="4ADEA72E">
      <w:pPr>
        <w:pStyle w:val="3"/>
        <w:spacing w:line="240" w:lineRule="auto"/>
        <w:jc w:val="center"/>
        <w:rPr>
          <w:rFonts w:hint="eastAsia" w:ascii="Times New Roman" w:hAnsi="Times New Roman" w:eastAsia="方正小标宋简体" w:cs="方正小标宋简体"/>
          <w:b w:val="0"/>
          <w:color w:val="auto"/>
          <w:highlight w:val="none"/>
        </w:rPr>
      </w:pPr>
      <w:bookmarkStart w:id="14" w:name="_Toc5718"/>
      <w:bookmarkStart w:id="15" w:name="_Toc24856"/>
      <w:bookmarkStart w:id="16" w:name="_Toc15377204"/>
      <w:bookmarkStart w:id="1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4"/>
      <w:bookmarkEnd w:id="15"/>
      <w:bookmarkEnd w:id="16"/>
      <w:bookmarkEnd w:id="17"/>
    </w:p>
    <w:p w14:paraId="6D0E3AF1">
      <w:pPr>
        <w:spacing w:line="240" w:lineRule="auto"/>
        <w:rPr>
          <w:rFonts w:ascii="Times New Roman" w:hAnsi="Times New Roman"/>
          <w:color w:val="auto"/>
          <w:highlight w:val="none"/>
        </w:rPr>
      </w:pPr>
    </w:p>
    <w:p w14:paraId="313688AD">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Style w:val="29"/>
          <w:rFonts w:hint="eastAsia" w:ascii="Times New Roman" w:hAnsi="Times New Roman" w:eastAsia="黑体"/>
          <w:b w:val="0"/>
          <w:color w:val="auto"/>
          <w:highlight w:val="none"/>
        </w:rPr>
      </w:pPr>
      <w:bookmarkStart w:id="18" w:name="_Toc15396603"/>
      <w:bookmarkStart w:id="19" w:name="_Toc15377205"/>
      <w:bookmarkStart w:id="20" w:name="_Toc31748"/>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8"/>
      <w:bookmarkEnd w:id="19"/>
      <w:bookmarkEnd w:id="20"/>
    </w:p>
    <w:p w14:paraId="7E3C1C89">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2024</w:t>
      </w:r>
      <w:r>
        <w:rPr>
          <w:rFonts w:hint="default" w:ascii="Times New Roman" w:hAnsi="Times New Roman" w:eastAsia="方正仿宋_GBK" w:cs="Times New Roman"/>
          <w:color w:val="auto"/>
          <w:sz w:val="32"/>
          <w:szCs w:val="32"/>
          <w:highlight w:val="none"/>
          <w:lang w:eastAsia="zh-CN"/>
        </w:rPr>
        <w:t>年度收入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总计</w:t>
      </w:r>
      <w:r>
        <w:rPr>
          <w:rFonts w:hint="default" w:ascii="Times New Roman" w:hAnsi="Times New Roman" w:eastAsia="方正仿宋_GBK" w:cs="Times New Roman"/>
          <w:color w:val="auto"/>
          <w:sz w:val="32"/>
          <w:szCs w:val="32"/>
          <w:highlight w:val="none"/>
          <w:lang w:eastAsia="zh-CN"/>
        </w:rPr>
        <w:t>均为</w:t>
      </w:r>
      <w:r>
        <w:rPr>
          <w:rFonts w:hint="default" w:ascii="Times New Roman" w:hAnsi="Times New Roman" w:eastAsia="方正仿宋_GBK" w:cs="Times New Roman"/>
          <w:b/>
          <w:bCs/>
          <w:color w:val="auto"/>
          <w:sz w:val="32"/>
          <w:szCs w:val="32"/>
          <w:highlight w:val="none"/>
          <w:lang w:val="en-US" w:eastAsia="zh-CN"/>
        </w:rPr>
        <w:t>434.83</w:t>
      </w:r>
      <w:r>
        <w:rPr>
          <w:rFonts w:hint="default" w:ascii="Times New Roman" w:hAnsi="Times New Roman" w:eastAsia="方正仿宋_GBK" w:cs="Times New Roman"/>
          <w:color w:val="auto"/>
          <w:sz w:val="32"/>
          <w:szCs w:val="32"/>
          <w:highlight w:val="none"/>
        </w:rPr>
        <w:t>万元。与</w:t>
      </w:r>
      <w:r>
        <w:rPr>
          <w:rFonts w:hint="default" w:ascii="Times New Roman" w:hAnsi="Times New Roman" w:eastAsia="方正仿宋_GBK" w:cs="Times New Roman"/>
          <w:b/>
          <w:bCs/>
          <w:color w:val="auto"/>
          <w:sz w:val="32"/>
          <w:szCs w:val="32"/>
          <w:highlight w:val="none"/>
          <w:lang w:val="en-US" w:eastAsia="zh-CN"/>
        </w:rPr>
        <w:t>2023</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eastAsia="zh-CN"/>
        </w:rPr>
        <w:t>度</w:t>
      </w:r>
      <w:r>
        <w:rPr>
          <w:rFonts w:hint="default" w:ascii="Times New Roman" w:hAnsi="Times New Roman" w:eastAsia="方正仿宋_GBK" w:cs="Times New Roman"/>
          <w:color w:val="auto"/>
          <w:sz w:val="32"/>
          <w:szCs w:val="32"/>
          <w:highlight w:val="none"/>
        </w:rPr>
        <w:t>相比，</w:t>
      </w:r>
      <w:r>
        <w:rPr>
          <w:rFonts w:hint="default" w:ascii="Times New Roman" w:hAnsi="Times New Roman" w:eastAsia="方正仿宋_GBK" w:cs="Times New Roman"/>
          <w:color w:val="auto"/>
          <w:sz w:val="32"/>
          <w:szCs w:val="32"/>
          <w:highlight w:val="none"/>
          <w:lang w:eastAsia="zh-CN"/>
        </w:rPr>
        <w:t>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总计各减少</w:t>
      </w:r>
      <w:r>
        <w:rPr>
          <w:rFonts w:hint="default" w:ascii="Times New Roman" w:hAnsi="Times New Roman" w:eastAsia="方正仿宋_GBK" w:cs="Times New Roman"/>
          <w:b/>
          <w:bCs/>
          <w:color w:val="auto"/>
          <w:sz w:val="32"/>
          <w:szCs w:val="32"/>
          <w:highlight w:val="none"/>
          <w:lang w:val="en-US" w:eastAsia="zh-CN"/>
        </w:rPr>
        <w:t>41.59</w:t>
      </w:r>
      <w:r>
        <w:rPr>
          <w:rFonts w:hint="default" w:ascii="Times New Roman" w:hAnsi="Times New Roman" w:eastAsia="方正仿宋_GBK" w:cs="Times New Roman"/>
          <w:color w:val="auto"/>
          <w:sz w:val="32"/>
          <w:szCs w:val="32"/>
          <w:highlight w:val="none"/>
        </w:rPr>
        <w:t>万元，下降</w:t>
      </w:r>
      <w:r>
        <w:rPr>
          <w:rFonts w:hint="default" w:ascii="Times New Roman" w:hAnsi="Times New Roman" w:eastAsia="方正仿宋_GBK" w:cs="Times New Roman"/>
          <w:b/>
          <w:bCs/>
          <w:color w:val="auto"/>
          <w:sz w:val="32"/>
          <w:szCs w:val="32"/>
          <w:highlight w:val="none"/>
          <w:lang w:val="en-US" w:eastAsia="zh-CN"/>
        </w:rPr>
        <w:t>8.73%</w:t>
      </w:r>
      <w:r>
        <w:rPr>
          <w:rFonts w:hint="default" w:ascii="Times New Roman" w:hAnsi="Times New Roman" w:eastAsia="方正仿宋_GBK" w:cs="Times New Roman"/>
          <w:color w:val="auto"/>
          <w:sz w:val="32"/>
          <w:szCs w:val="32"/>
          <w:highlight w:val="none"/>
        </w:rPr>
        <w:t>。主要变动原因是</w:t>
      </w:r>
      <w:r>
        <w:rPr>
          <w:rFonts w:hint="default" w:ascii="Times New Roman" w:hAnsi="Times New Roman" w:eastAsia="方正仿宋_GBK" w:cs="Times New Roman"/>
          <w:color w:val="auto"/>
          <w:sz w:val="32"/>
          <w:szCs w:val="32"/>
          <w:highlight w:val="none"/>
          <w:lang w:val="en-US" w:eastAsia="zh-CN"/>
        </w:rPr>
        <w:t>项目经费支出减少。</w:t>
      </w:r>
    </w:p>
    <w:p w14:paraId="42728878">
      <w:pPr>
        <w:spacing w:line="240" w:lineRule="auto"/>
        <w:ind w:firstLine="800" w:firstLineChars="250"/>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（图1：收入、支出决算总计变动情况图）（柱状图）</w:t>
      </w:r>
    </w:p>
    <w:p w14:paraId="7002381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仿宋_GB2312" w:eastAsia="仿宋_GB2312"/>
          <w:sz w:val="32"/>
          <w:szCs w:val="32"/>
          <w:lang w:eastAsia="zh-CN"/>
        </w:rPr>
        <w:drawing>
          <wp:inline distT="0" distB="0" distL="114300" distR="114300">
            <wp:extent cx="3542665" cy="2043430"/>
            <wp:effectExtent l="5080" t="4445" r="8255" b="34925"/>
            <wp:docPr id="1" name="图表 1"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47DB2F">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Times New Roman" w:hAnsi="Times New Roman" w:eastAsia="黑体"/>
          <w:color w:val="auto"/>
          <w:sz w:val="32"/>
          <w:szCs w:val="32"/>
          <w:highlight w:val="none"/>
          <w:lang w:eastAsia="zh-CN"/>
        </w:rPr>
      </w:pPr>
      <w:bookmarkStart w:id="21" w:name="_Toc22154"/>
      <w:bookmarkStart w:id="22" w:name="_Toc15396604"/>
      <w:bookmarkStart w:id="23" w:name="_Toc15377206"/>
      <w:r>
        <w:rPr>
          <w:rFonts w:hint="eastAsia" w:ascii="Times New Roman" w:hAnsi="Times New Roman" w:eastAsia="黑体"/>
          <w:color w:val="auto"/>
          <w:sz w:val="32"/>
          <w:szCs w:val="32"/>
          <w:highlight w:val="none"/>
          <w:lang w:eastAsia="zh-CN"/>
        </w:rPr>
        <w:t>二、收入决算情况说明</w:t>
      </w:r>
      <w:bookmarkEnd w:id="21"/>
      <w:bookmarkEnd w:id="22"/>
      <w:bookmarkEnd w:id="23"/>
    </w:p>
    <w:p w14:paraId="54C1ACF5">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2024</w:t>
      </w:r>
      <w:r>
        <w:rPr>
          <w:rFonts w:hint="default" w:ascii="Times New Roman" w:hAnsi="Times New Roman" w:eastAsia="方正仿宋_GBK" w:cs="Times New Roman"/>
          <w:b w:val="0"/>
          <w:bCs w:val="0"/>
          <w:color w:val="auto"/>
          <w:sz w:val="32"/>
          <w:szCs w:val="32"/>
          <w:highlight w:val="none"/>
          <w:lang w:val="en-US" w:eastAsia="zh-CN"/>
        </w:rPr>
        <w:t>年度本年收入合计</w:t>
      </w:r>
      <w:r>
        <w:rPr>
          <w:rFonts w:hint="default" w:ascii="Times New Roman" w:hAnsi="Times New Roman" w:eastAsia="方正仿宋_GBK" w:cs="Times New Roman"/>
          <w:b/>
          <w:bCs/>
          <w:color w:val="auto"/>
          <w:sz w:val="32"/>
          <w:szCs w:val="32"/>
          <w:highlight w:val="none"/>
          <w:lang w:val="en-US" w:eastAsia="zh-CN"/>
        </w:rPr>
        <w:t>434.83</w:t>
      </w:r>
      <w:r>
        <w:rPr>
          <w:rFonts w:hint="default" w:ascii="Times New Roman" w:hAnsi="Times New Roman" w:eastAsia="方正仿宋_GBK" w:cs="Times New Roman"/>
          <w:b w:val="0"/>
          <w:bCs w:val="0"/>
          <w:color w:val="auto"/>
          <w:sz w:val="32"/>
          <w:szCs w:val="32"/>
          <w:highlight w:val="none"/>
          <w:lang w:val="en-US" w:eastAsia="zh-CN"/>
        </w:rPr>
        <w:t>万元，其中：一般公共预算财政拨款收入</w:t>
      </w:r>
      <w:r>
        <w:rPr>
          <w:rFonts w:hint="default" w:ascii="Times New Roman" w:hAnsi="Times New Roman" w:eastAsia="方正仿宋_GBK" w:cs="Times New Roman"/>
          <w:b/>
          <w:bCs/>
          <w:color w:val="auto"/>
          <w:sz w:val="32"/>
          <w:szCs w:val="32"/>
          <w:highlight w:val="none"/>
          <w:lang w:val="en-US" w:eastAsia="zh-CN"/>
        </w:rPr>
        <w:t>434.83</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100%</w:t>
      </w:r>
      <w:r>
        <w:rPr>
          <w:rFonts w:hint="default" w:ascii="Times New Roman" w:hAnsi="Times New Roman" w:eastAsia="方正仿宋_GBK" w:cs="Times New Roman"/>
          <w:b w:val="0"/>
          <w:bCs w:val="0"/>
          <w:color w:val="auto"/>
          <w:sz w:val="32"/>
          <w:szCs w:val="32"/>
          <w:highlight w:val="none"/>
          <w:lang w:val="en-US" w:eastAsia="zh-CN"/>
        </w:rPr>
        <w:t>；政府性基金预算财政拨款收入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；国有资本经营预算财政拨款收入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；上级补助收入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；事业收入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；经营收入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；附属单位上缴收入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；其他收入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w:t>
      </w:r>
    </w:p>
    <w:p w14:paraId="609425A0">
      <w:pPr>
        <w:spacing w:line="240" w:lineRule="auto"/>
        <w:ind w:firstLine="800" w:firstLineChars="250"/>
        <w:jc w:val="center"/>
        <w:rPr>
          <w:rFonts w:hint="eastAsia" w:ascii="Times New Roman" w:hAnsi="Times New Roman" w:eastAsia="仿宋_GB2312" w:cs="仿宋_GB2312"/>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（图2：收入决算结构图）（饼状图）</w:t>
      </w:r>
    </w:p>
    <w:p w14:paraId="073D20FD">
      <w:pPr>
        <w:spacing w:line="240" w:lineRule="auto"/>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仿宋" w:hAnsi="仿宋" w:eastAsia="仿宋"/>
          <w:sz w:val="32"/>
          <w:szCs w:val="32"/>
          <w:lang w:eastAsia="zh-CN"/>
        </w:rPr>
        <w:drawing>
          <wp:inline distT="0" distB="0" distL="114300" distR="114300">
            <wp:extent cx="3542665" cy="2033270"/>
            <wp:effectExtent l="4445" t="4445" r="8890" b="6985"/>
            <wp:docPr id="2" name="图表 2" descr="7b0a202020202263686172745265734964223a202232303437353538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4A472F">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Style w:val="29"/>
          <w:rFonts w:hint="eastAsia" w:ascii="Times New Roman" w:hAnsi="Times New Roman" w:eastAsia="黑体"/>
          <w:b w:val="0"/>
          <w:color w:val="auto"/>
          <w:highlight w:val="none"/>
        </w:rPr>
      </w:pPr>
      <w:bookmarkStart w:id="24" w:name="_Toc27645"/>
      <w:bookmarkStart w:id="25" w:name="_Toc15396605"/>
      <w:bookmarkStart w:id="26"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4"/>
      <w:bookmarkEnd w:id="25"/>
      <w:bookmarkEnd w:id="26"/>
    </w:p>
    <w:p w14:paraId="4E6074E2">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2024</w:t>
      </w:r>
      <w:r>
        <w:rPr>
          <w:rFonts w:hint="default" w:ascii="Times New Roman" w:hAnsi="Times New Roman" w:eastAsia="方正仿宋_GBK" w:cs="Times New Roman"/>
          <w:b w:val="0"/>
          <w:bCs w:val="0"/>
          <w:color w:val="auto"/>
          <w:sz w:val="32"/>
          <w:szCs w:val="32"/>
          <w:highlight w:val="none"/>
          <w:lang w:val="en-US" w:eastAsia="zh-CN"/>
        </w:rPr>
        <w:t>年度本年支出合计</w:t>
      </w:r>
      <w:r>
        <w:rPr>
          <w:rFonts w:hint="default" w:ascii="Times New Roman" w:hAnsi="Times New Roman" w:eastAsia="方正仿宋_GBK" w:cs="Times New Roman"/>
          <w:b/>
          <w:bCs/>
          <w:color w:val="auto"/>
          <w:sz w:val="32"/>
          <w:szCs w:val="32"/>
          <w:highlight w:val="none"/>
          <w:lang w:val="en-US" w:eastAsia="zh-CN"/>
        </w:rPr>
        <w:t>434.83</w:t>
      </w:r>
      <w:r>
        <w:rPr>
          <w:rFonts w:hint="default" w:ascii="Times New Roman" w:hAnsi="Times New Roman" w:eastAsia="方正仿宋_GBK" w:cs="Times New Roman"/>
          <w:b w:val="0"/>
          <w:bCs w:val="0"/>
          <w:color w:val="auto"/>
          <w:sz w:val="32"/>
          <w:szCs w:val="32"/>
          <w:highlight w:val="none"/>
          <w:lang w:val="en-US" w:eastAsia="zh-CN"/>
        </w:rPr>
        <w:t>万元，其中：基本支出</w:t>
      </w:r>
      <w:r>
        <w:rPr>
          <w:rFonts w:hint="default" w:ascii="Times New Roman" w:hAnsi="Times New Roman" w:eastAsia="方正仿宋_GBK" w:cs="Times New Roman"/>
          <w:b/>
          <w:bCs/>
          <w:color w:val="auto"/>
          <w:sz w:val="32"/>
          <w:szCs w:val="32"/>
          <w:highlight w:val="none"/>
          <w:lang w:val="en-US" w:eastAsia="zh-CN"/>
        </w:rPr>
        <w:t>292.01</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67.15%</w:t>
      </w:r>
      <w:r>
        <w:rPr>
          <w:rFonts w:hint="default" w:ascii="Times New Roman" w:hAnsi="Times New Roman" w:eastAsia="方正仿宋_GBK" w:cs="Times New Roman"/>
          <w:b w:val="0"/>
          <w:bCs w:val="0"/>
          <w:color w:val="auto"/>
          <w:sz w:val="32"/>
          <w:szCs w:val="32"/>
          <w:highlight w:val="none"/>
          <w:lang w:val="en-US" w:eastAsia="zh-CN"/>
        </w:rPr>
        <w:t>；项目支出</w:t>
      </w:r>
      <w:r>
        <w:rPr>
          <w:rFonts w:hint="default" w:ascii="Times New Roman" w:hAnsi="Times New Roman" w:eastAsia="方正仿宋_GBK" w:cs="Times New Roman"/>
          <w:b/>
          <w:bCs/>
          <w:color w:val="auto"/>
          <w:sz w:val="32"/>
          <w:szCs w:val="32"/>
          <w:highlight w:val="none"/>
          <w:lang w:val="en-US" w:eastAsia="zh-CN"/>
        </w:rPr>
        <w:t>142.82</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32.84%</w:t>
      </w:r>
      <w:r>
        <w:rPr>
          <w:rFonts w:hint="default" w:ascii="Times New Roman" w:hAnsi="Times New Roman" w:eastAsia="方正仿宋_GBK" w:cs="Times New Roman"/>
          <w:b w:val="0"/>
          <w:bCs w:val="0"/>
          <w:color w:val="auto"/>
          <w:sz w:val="32"/>
          <w:szCs w:val="32"/>
          <w:highlight w:val="none"/>
          <w:lang w:val="en-US" w:eastAsia="zh-CN"/>
        </w:rPr>
        <w:t>；上缴上级支出</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；经营支出</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；对附属单位补助支出</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w:t>
      </w:r>
    </w:p>
    <w:p w14:paraId="1F81CDCF">
      <w:pPr>
        <w:spacing w:line="240" w:lineRule="auto"/>
        <w:jc w:val="center"/>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（图3：支出决算结构图）（饼状图）</w:t>
      </w:r>
    </w:p>
    <w:p w14:paraId="5A57A634">
      <w:pPr>
        <w:spacing w:line="240" w:lineRule="auto"/>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仿宋_GB2312" w:eastAsia="仿宋_GB2312"/>
          <w:sz w:val="32"/>
          <w:szCs w:val="32"/>
          <w:lang w:eastAsia="zh-CN"/>
        </w:rPr>
        <w:drawing>
          <wp:inline distT="0" distB="0" distL="114300" distR="114300">
            <wp:extent cx="3671570" cy="2136140"/>
            <wp:effectExtent l="4445" t="4445" r="6985" b="43815"/>
            <wp:docPr id="3" name="图表 3" descr="7b0a202020202263686172745265734964223a202232303437343531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6C5F81">
      <w:pPr>
        <w:spacing w:line="240" w:lineRule="auto"/>
        <w:ind w:firstLine="640" w:firstLineChars="200"/>
        <w:outlineLvl w:val="1"/>
        <w:rPr>
          <w:rStyle w:val="29"/>
          <w:rFonts w:ascii="Times New Roman" w:hAnsi="Times New Roman" w:eastAsia="黑体"/>
          <w:b w:val="0"/>
          <w:color w:val="auto"/>
          <w:highlight w:val="none"/>
        </w:rPr>
      </w:pPr>
      <w:bookmarkStart w:id="27" w:name="_Toc9603"/>
      <w:bookmarkStart w:id="28" w:name="_Toc15396606"/>
      <w:bookmarkStart w:id="29"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7"/>
      <w:bookmarkEnd w:id="28"/>
      <w:bookmarkEnd w:id="29"/>
    </w:p>
    <w:p w14:paraId="7172DAB1">
      <w:pPr>
        <w:spacing w:line="240" w:lineRule="auto"/>
        <w:ind w:firstLine="640"/>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b w:val="0"/>
          <w:bCs w:val="0"/>
          <w:color w:val="auto"/>
          <w:kern w:val="2"/>
          <w:sz w:val="32"/>
          <w:szCs w:val="32"/>
          <w:highlight w:val="none"/>
          <w:lang w:val="en-US" w:eastAsia="zh-CN" w:bidi="ar-SA"/>
        </w:rPr>
        <w:t>年度财政拨款收入、支出总计均为</w:t>
      </w:r>
      <w:r>
        <w:rPr>
          <w:rFonts w:hint="default" w:ascii="Times New Roman" w:hAnsi="Times New Roman" w:eastAsia="方正仿宋_GBK" w:cs="Times New Roman"/>
          <w:b/>
          <w:bCs/>
          <w:color w:val="auto"/>
          <w:kern w:val="2"/>
          <w:sz w:val="32"/>
          <w:szCs w:val="32"/>
          <w:highlight w:val="none"/>
          <w:lang w:val="en-US" w:eastAsia="zh-CN" w:bidi="ar-SA"/>
        </w:rPr>
        <w:t>434.83</w:t>
      </w:r>
      <w:r>
        <w:rPr>
          <w:rFonts w:hint="default" w:ascii="Times New Roman" w:hAnsi="Times New Roman" w:eastAsia="方正仿宋_GBK" w:cs="Times New Roman"/>
          <w:b w:val="0"/>
          <w:bCs w:val="0"/>
          <w:color w:val="auto"/>
          <w:kern w:val="2"/>
          <w:sz w:val="32"/>
          <w:szCs w:val="32"/>
          <w:highlight w:val="none"/>
          <w:lang w:val="en-US" w:eastAsia="zh-CN" w:bidi="ar-SA"/>
        </w:rPr>
        <w:t>万元。与2023年度相比，财政拨款收入总计、支出总计各减少</w:t>
      </w:r>
      <w:r>
        <w:rPr>
          <w:rFonts w:hint="default" w:ascii="Times New Roman" w:hAnsi="Times New Roman" w:eastAsia="方正仿宋_GBK" w:cs="Times New Roman"/>
          <w:b/>
          <w:bCs/>
          <w:color w:val="auto"/>
          <w:sz w:val="32"/>
          <w:szCs w:val="32"/>
          <w:highlight w:val="none"/>
          <w:lang w:val="en-US" w:eastAsia="zh-CN"/>
        </w:rPr>
        <w:t>41.59</w:t>
      </w:r>
      <w:r>
        <w:rPr>
          <w:rFonts w:hint="default" w:ascii="Times New Roman" w:hAnsi="Times New Roman" w:eastAsia="方正仿宋_GBK" w:cs="Times New Roman"/>
          <w:b w:val="0"/>
          <w:bCs w:val="0"/>
          <w:color w:val="auto"/>
          <w:kern w:val="2"/>
          <w:sz w:val="32"/>
          <w:szCs w:val="32"/>
          <w:highlight w:val="none"/>
          <w:lang w:val="en-US" w:eastAsia="zh-CN" w:bidi="ar-SA"/>
        </w:rPr>
        <w:t>万元，下降</w:t>
      </w:r>
      <w:r>
        <w:rPr>
          <w:rFonts w:hint="default" w:ascii="Times New Roman" w:hAnsi="Times New Roman" w:eastAsia="方正仿宋_GBK" w:cs="Times New Roman"/>
          <w:b/>
          <w:bCs/>
          <w:color w:val="auto"/>
          <w:kern w:val="2"/>
          <w:sz w:val="32"/>
          <w:szCs w:val="32"/>
          <w:highlight w:val="none"/>
          <w:lang w:val="en-US" w:eastAsia="zh-CN" w:bidi="ar-SA"/>
        </w:rPr>
        <w:t>8.73%</w:t>
      </w:r>
      <w:r>
        <w:rPr>
          <w:rFonts w:hint="default" w:ascii="Times New Roman" w:hAnsi="Times New Roman" w:eastAsia="方正仿宋_GBK" w:cs="Times New Roman"/>
          <w:b w:val="0"/>
          <w:bCs w:val="0"/>
          <w:color w:val="auto"/>
          <w:kern w:val="2"/>
          <w:sz w:val="32"/>
          <w:szCs w:val="32"/>
          <w:highlight w:val="none"/>
          <w:lang w:val="en-US" w:eastAsia="zh-CN" w:bidi="ar-SA"/>
        </w:rPr>
        <w:t>。主要变动原因是</w:t>
      </w:r>
      <w:r>
        <w:rPr>
          <w:rFonts w:hint="default" w:ascii="Times New Roman" w:hAnsi="Times New Roman" w:eastAsia="方正仿宋_GBK" w:cs="Times New Roman"/>
          <w:b w:val="0"/>
          <w:bCs w:val="0"/>
          <w:color w:val="auto"/>
          <w:sz w:val="32"/>
          <w:szCs w:val="32"/>
          <w:highlight w:val="none"/>
          <w:lang w:val="en-US" w:eastAsia="zh-CN"/>
        </w:rPr>
        <w:t>项目经费支出减少。</w:t>
      </w:r>
    </w:p>
    <w:p w14:paraId="00596A82">
      <w:pPr>
        <w:spacing w:line="240" w:lineRule="auto"/>
        <w:jc w:val="center"/>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（图4：财政拨款收、支决算总计变动情况）（柱状图）</w:t>
      </w:r>
    </w:p>
    <w:p w14:paraId="1D18A69F">
      <w:pPr>
        <w:spacing w:line="240" w:lineRule="auto"/>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eastAsia="zh-CN"/>
        </w:rPr>
        <w:drawing>
          <wp:inline distT="0" distB="0" distL="114300" distR="114300">
            <wp:extent cx="3694430" cy="2261235"/>
            <wp:effectExtent l="4445" t="5080" r="9525" b="45085"/>
            <wp:docPr id="4" name="图表 4"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874EF3">
      <w:pPr>
        <w:spacing w:line="240" w:lineRule="auto"/>
        <w:ind w:firstLine="640" w:firstLineChars="200"/>
        <w:outlineLvl w:val="1"/>
        <w:rPr>
          <w:rStyle w:val="29"/>
          <w:rFonts w:ascii="Times New Roman" w:hAnsi="Times New Roman" w:eastAsia="黑体"/>
          <w:b w:val="0"/>
          <w:color w:val="auto"/>
          <w:highlight w:val="none"/>
        </w:rPr>
      </w:pPr>
      <w:bookmarkStart w:id="30" w:name="_Toc4225"/>
      <w:bookmarkStart w:id="31" w:name="_Toc15377209"/>
      <w:bookmarkStart w:id="32"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0"/>
      <w:bookmarkEnd w:id="31"/>
      <w:bookmarkEnd w:id="32"/>
    </w:p>
    <w:p w14:paraId="3BEDC00A">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33" w:name="_Toc15377210"/>
      <w:r>
        <w:rPr>
          <w:rFonts w:hint="eastAsia" w:ascii="方正楷体_GBK" w:hAnsi="方正楷体_GBK" w:eastAsia="方正楷体_GBK" w:cs="方正楷体_GBK"/>
          <w:b/>
          <w:color w:val="auto"/>
          <w:sz w:val="32"/>
          <w:szCs w:val="32"/>
          <w:highlight w:val="none"/>
        </w:rPr>
        <w:t>（一）一般公共预算财政拨款支出决算总体情况</w:t>
      </w:r>
      <w:bookmarkEnd w:id="33"/>
    </w:p>
    <w:p w14:paraId="2FA487DE">
      <w:pPr>
        <w:spacing w:line="240" w:lineRule="auto"/>
        <w:ind w:firstLine="640"/>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2024年度一般公共预算财政拨款支出434.83万元，占本年支出合计的100%。与2023年度相比，一般公共预算财政拨款支出减少</w:t>
      </w:r>
      <w:r>
        <w:rPr>
          <w:rFonts w:hint="default" w:ascii="Times New Roman" w:hAnsi="Times New Roman" w:eastAsia="方正仿宋_GBK" w:cs="Times New Roman"/>
          <w:b/>
          <w:bCs/>
          <w:color w:val="auto"/>
          <w:sz w:val="32"/>
          <w:szCs w:val="32"/>
          <w:highlight w:val="none"/>
          <w:lang w:val="en-US" w:eastAsia="zh-CN"/>
        </w:rPr>
        <w:t>41.59</w:t>
      </w:r>
      <w:r>
        <w:rPr>
          <w:rFonts w:hint="default" w:ascii="Times New Roman" w:hAnsi="Times New Roman" w:eastAsia="方正仿宋_GBK" w:cs="Times New Roman"/>
          <w:b w:val="0"/>
          <w:bCs w:val="0"/>
          <w:color w:val="auto"/>
          <w:kern w:val="2"/>
          <w:sz w:val="32"/>
          <w:szCs w:val="32"/>
          <w:highlight w:val="none"/>
          <w:lang w:val="en-US" w:eastAsia="zh-CN" w:bidi="ar-SA"/>
        </w:rPr>
        <w:t>万元，下降</w:t>
      </w:r>
      <w:r>
        <w:rPr>
          <w:rFonts w:hint="default" w:ascii="Times New Roman" w:hAnsi="Times New Roman" w:eastAsia="方正仿宋_GBK" w:cs="Times New Roman"/>
          <w:b/>
          <w:bCs/>
          <w:color w:val="auto"/>
          <w:kern w:val="2"/>
          <w:sz w:val="32"/>
          <w:szCs w:val="32"/>
          <w:highlight w:val="none"/>
          <w:lang w:val="en-US" w:eastAsia="zh-CN" w:bidi="ar-SA"/>
        </w:rPr>
        <w:t>8.73%</w:t>
      </w:r>
      <w:r>
        <w:rPr>
          <w:rFonts w:hint="default" w:ascii="Times New Roman" w:hAnsi="Times New Roman" w:eastAsia="方正仿宋_GBK" w:cs="Times New Roman"/>
          <w:b w:val="0"/>
          <w:bCs w:val="0"/>
          <w:color w:val="auto"/>
          <w:kern w:val="2"/>
          <w:sz w:val="32"/>
          <w:szCs w:val="32"/>
          <w:highlight w:val="none"/>
          <w:lang w:val="en-US" w:eastAsia="zh-CN" w:bidi="ar-SA"/>
        </w:rPr>
        <w:t>。主要变动原因是</w:t>
      </w:r>
      <w:r>
        <w:rPr>
          <w:rFonts w:hint="default" w:ascii="Times New Roman" w:hAnsi="Times New Roman" w:eastAsia="方正仿宋_GBK" w:cs="Times New Roman"/>
          <w:b w:val="0"/>
          <w:bCs w:val="0"/>
          <w:color w:val="auto"/>
          <w:sz w:val="32"/>
          <w:szCs w:val="32"/>
          <w:highlight w:val="none"/>
          <w:lang w:val="en-US" w:eastAsia="zh-CN"/>
        </w:rPr>
        <w:t>项目经费支出减少</w:t>
      </w:r>
    </w:p>
    <w:p w14:paraId="467D53A4">
      <w:pPr>
        <w:spacing w:line="240" w:lineRule="auto"/>
        <w:jc w:val="center"/>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（图5：一般公共预算财政拨款支出决算变动情况）（柱状图）</w:t>
      </w:r>
    </w:p>
    <w:p w14:paraId="68FEB49B">
      <w:pPr>
        <w:spacing w:line="240" w:lineRule="auto"/>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eastAsia="zh-CN"/>
        </w:rPr>
        <w:drawing>
          <wp:inline distT="0" distB="0" distL="114300" distR="114300">
            <wp:extent cx="3694430" cy="2261235"/>
            <wp:effectExtent l="4445" t="5080" r="9525" b="45085"/>
            <wp:docPr id="5" name="图表 5"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77880F">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34" w:name="_Toc15377211"/>
      <w:r>
        <w:rPr>
          <w:rFonts w:hint="eastAsia" w:ascii="方正楷体_GBK" w:hAnsi="方正楷体_GBK" w:eastAsia="方正楷体_GBK" w:cs="方正楷体_GBK"/>
          <w:b/>
          <w:color w:val="auto"/>
          <w:sz w:val="32"/>
          <w:szCs w:val="32"/>
          <w:highlight w:val="none"/>
        </w:rPr>
        <w:t>（二）一般公共预算财政拨款支出决算结构情况</w:t>
      </w:r>
      <w:bookmarkEnd w:id="34"/>
    </w:p>
    <w:p w14:paraId="6FCD2D59">
      <w:pPr>
        <w:spacing w:line="240" w:lineRule="auto"/>
        <w:ind w:firstLine="640"/>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w:t>
      </w:r>
      <w:r>
        <w:rPr>
          <w:rFonts w:hint="default" w:ascii="Times New Roman" w:hAnsi="Times New Roman" w:eastAsia="方正仿宋_GBK" w:cs="Times New Roman"/>
          <w:b/>
          <w:bCs/>
          <w:sz w:val="32"/>
          <w:szCs w:val="32"/>
        </w:rPr>
        <w:t>434.83</w:t>
      </w:r>
      <w:r>
        <w:rPr>
          <w:rFonts w:hint="default" w:ascii="Times New Roman" w:hAnsi="Times New Roman" w:eastAsia="方正仿宋_GBK" w:cs="Times New Roman"/>
          <w:color w:val="auto"/>
          <w:kern w:val="2"/>
          <w:sz w:val="32"/>
          <w:szCs w:val="32"/>
          <w:highlight w:val="none"/>
          <w:lang w:val="en-US" w:eastAsia="zh-CN" w:bidi="ar-SA"/>
        </w:rPr>
        <w:t>万元，主要用于以下方面：一般公共服务支出</w:t>
      </w:r>
      <w:r>
        <w:rPr>
          <w:rFonts w:hint="default" w:ascii="Times New Roman" w:hAnsi="Times New Roman" w:eastAsia="方正仿宋_GBK" w:cs="Times New Roman"/>
          <w:b/>
          <w:bCs/>
          <w:color w:val="auto"/>
          <w:kern w:val="2"/>
          <w:sz w:val="32"/>
          <w:szCs w:val="32"/>
          <w:highlight w:val="none"/>
          <w:lang w:val="en-US" w:eastAsia="zh-CN" w:bidi="ar-SA"/>
        </w:rPr>
        <w:t>361.44</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83.12%</w:t>
      </w:r>
      <w:r>
        <w:rPr>
          <w:rFonts w:hint="default" w:ascii="Times New Roman" w:hAnsi="Times New Roman" w:eastAsia="方正仿宋_GBK" w:cs="Times New Roman"/>
          <w:color w:val="auto"/>
          <w:kern w:val="2"/>
          <w:sz w:val="32"/>
          <w:szCs w:val="32"/>
          <w:highlight w:val="none"/>
          <w:lang w:val="en-US" w:eastAsia="zh-CN" w:bidi="ar-SA"/>
        </w:rPr>
        <w:t>；教育支出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；科学技术支出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；文化旅游体育与传媒支出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；社会保障和就业支出</w:t>
      </w:r>
      <w:r>
        <w:rPr>
          <w:rFonts w:hint="default" w:ascii="Times New Roman" w:hAnsi="Times New Roman" w:eastAsia="方正仿宋_GBK" w:cs="Times New Roman"/>
          <w:b/>
          <w:bCs/>
          <w:color w:val="auto"/>
          <w:kern w:val="2"/>
          <w:sz w:val="32"/>
          <w:szCs w:val="32"/>
          <w:highlight w:val="none"/>
          <w:lang w:val="en-US" w:eastAsia="zh-CN" w:bidi="ar-SA"/>
        </w:rPr>
        <w:t>31.82</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7.32%</w:t>
      </w:r>
      <w:r>
        <w:rPr>
          <w:rFonts w:hint="default" w:ascii="Times New Roman" w:hAnsi="Times New Roman" w:eastAsia="方正仿宋_GBK" w:cs="Times New Roman"/>
          <w:color w:val="auto"/>
          <w:kern w:val="2"/>
          <w:sz w:val="32"/>
          <w:szCs w:val="32"/>
          <w:highlight w:val="none"/>
          <w:lang w:val="en-US" w:eastAsia="zh-CN" w:bidi="ar-SA"/>
        </w:rPr>
        <w:t>；卫生健康支出</w:t>
      </w:r>
      <w:r>
        <w:rPr>
          <w:rFonts w:hint="default" w:ascii="Times New Roman" w:hAnsi="Times New Roman" w:eastAsia="方正仿宋_GBK" w:cs="Times New Roman"/>
          <w:b/>
          <w:bCs/>
          <w:color w:val="auto"/>
          <w:kern w:val="2"/>
          <w:sz w:val="32"/>
          <w:szCs w:val="32"/>
          <w:highlight w:val="none"/>
          <w:lang w:val="en-US" w:eastAsia="zh-CN" w:bidi="ar-SA"/>
        </w:rPr>
        <w:t>18.89</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4.34%</w:t>
      </w:r>
      <w:r>
        <w:rPr>
          <w:rFonts w:hint="default" w:ascii="Times New Roman" w:hAnsi="Times New Roman" w:eastAsia="方正仿宋_GBK" w:cs="Times New Roman"/>
          <w:color w:val="auto"/>
          <w:kern w:val="2"/>
          <w:sz w:val="32"/>
          <w:szCs w:val="32"/>
          <w:highlight w:val="none"/>
          <w:lang w:val="en-US" w:eastAsia="zh-CN" w:bidi="ar-SA"/>
        </w:rPr>
        <w:t>；住房保障支出</w:t>
      </w:r>
      <w:r>
        <w:rPr>
          <w:rFonts w:hint="default" w:ascii="Times New Roman" w:hAnsi="Times New Roman" w:eastAsia="方正仿宋_GBK" w:cs="Times New Roman"/>
          <w:b/>
          <w:bCs/>
          <w:color w:val="auto"/>
          <w:kern w:val="2"/>
          <w:sz w:val="32"/>
          <w:szCs w:val="32"/>
          <w:highlight w:val="none"/>
          <w:lang w:val="en-US" w:eastAsia="zh-CN" w:bidi="ar-SA"/>
        </w:rPr>
        <w:t>22.68</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5.22%</w:t>
      </w:r>
      <w:r>
        <w:rPr>
          <w:rFonts w:hint="default" w:ascii="Times New Roman" w:hAnsi="Times New Roman" w:eastAsia="方正仿宋_GBK" w:cs="Times New Roman"/>
          <w:color w:val="auto"/>
          <w:kern w:val="2"/>
          <w:sz w:val="32"/>
          <w:szCs w:val="32"/>
          <w:highlight w:val="none"/>
          <w:lang w:val="en-US" w:eastAsia="zh-CN" w:bidi="ar-SA"/>
        </w:rPr>
        <w:t>。</w:t>
      </w:r>
    </w:p>
    <w:p w14:paraId="1EA7B3BA">
      <w:pPr>
        <w:spacing w:line="240" w:lineRule="auto"/>
        <w:ind w:firstLine="640"/>
        <w:jc w:val="center"/>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（图6：一般公共预算财政拨款支出决算结构）（饼状图）</w:t>
      </w:r>
    </w:p>
    <w:p w14:paraId="760DF626">
      <w:pPr>
        <w:spacing w:line="240" w:lineRule="auto"/>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sz w:val="32"/>
          <w:szCs w:val="32"/>
          <w:lang w:eastAsia="zh-CN"/>
        </w:rPr>
        <w:drawing>
          <wp:inline distT="0" distB="0" distL="114300" distR="114300">
            <wp:extent cx="3640455" cy="2265680"/>
            <wp:effectExtent l="4445" t="4445" r="12700" b="41275"/>
            <wp:docPr id="6" name="图表 6" descr="7b0a202020202263686172745265734964223a2022323034373631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6B8B34">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35" w:name="_Toc15377212"/>
      <w:r>
        <w:rPr>
          <w:rFonts w:hint="eastAsia" w:ascii="方正楷体_GBK" w:hAnsi="方正楷体_GBK" w:eastAsia="方正楷体_GBK" w:cs="方正楷体_GBK"/>
          <w:b/>
          <w:color w:val="auto"/>
          <w:sz w:val="32"/>
          <w:szCs w:val="32"/>
          <w:highlight w:val="none"/>
        </w:rPr>
        <w:t>（三）一般公共预算财政拨款支出决算具体情况</w:t>
      </w:r>
      <w:bookmarkEnd w:id="35"/>
    </w:p>
    <w:p w14:paraId="264EEF7A">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bookmarkStart w:id="36" w:name="_Toc15377444"/>
      <w:bookmarkStart w:id="37" w:name="_Toc15378460"/>
      <w:bookmarkStart w:id="38" w:name="_Toc15377213"/>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年度一般公共预算财政拨款支出决算数为</w:t>
      </w:r>
      <w:r>
        <w:rPr>
          <w:rFonts w:hint="default" w:ascii="Times New Roman" w:hAnsi="Times New Roman" w:eastAsia="方正仿宋_GBK" w:cs="Times New Roman"/>
          <w:b/>
          <w:bCs/>
          <w:sz w:val="32"/>
          <w:szCs w:val="32"/>
        </w:rPr>
        <w:t>434.83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kern w:val="2"/>
          <w:sz w:val="32"/>
          <w:szCs w:val="32"/>
          <w:highlight w:val="none"/>
          <w:lang w:val="en-US" w:eastAsia="zh-CN" w:bidi="ar-SA"/>
        </w:rPr>
        <w:t>，完成预算</w:t>
      </w:r>
      <w:r>
        <w:rPr>
          <w:rFonts w:hint="default" w:ascii="Times New Roman" w:hAnsi="Times New Roman" w:eastAsia="方正仿宋_GBK" w:cs="Times New Roman"/>
          <w:b/>
          <w:bCs/>
          <w:color w:val="auto"/>
          <w:kern w:val="2"/>
          <w:sz w:val="32"/>
          <w:szCs w:val="32"/>
          <w:highlight w:val="none"/>
          <w:lang w:val="en-US" w:eastAsia="zh-CN" w:bidi="ar-SA"/>
        </w:rPr>
        <w:t>100%</w:t>
      </w:r>
      <w:r>
        <w:rPr>
          <w:rFonts w:hint="default" w:ascii="Times New Roman" w:hAnsi="Times New Roman" w:eastAsia="方正仿宋_GBK" w:cs="Times New Roman"/>
          <w:color w:val="auto"/>
          <w:kern w:val="2"/>
          <w:sz w:val="32"/>
          <w:szCs w:val="32"/>
          <w:highlight w:val="none"/>
          <w:lang w:val="en-US" w:eastAsia="zh-CN" w:bidi="ar-SA"/>
        </w:rPr>
        <w:t>。其中：</w:t>
      </w:r>
      <w:bookmarkEnd w:id="36"/>
      <w:bookmarkEnd w:id="37"/>
      <w:bookmarkEnd w:id="38"/>
    </w:p>
    <w:p w14:paraId="3E3A39D6">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rPr>
        <w:t>1.</w:t>
      </w:r>
      <w:r>
        <w:rPr>
          <w:rFonts w:hint="default" w:ascii="Times New Roman" w:hAnsi="Times New Roman" w:eastAsia="方正仿宋_GBK" w:cs="Times New Roman"/>
          <w:b/>
          <w:bCs/>
          <w:sz w:val="32"/>
          <w:szCs w:val="32"/>
        </w:rPr>
        <w:t>一般公共服务（类）纪检监察事务（款）事业运行（项）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218.62</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1AD633AF">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kern w:val="0"/>
          <w:sz w:val="32"/>
          <w:szCs w:val="32"/>
        </w:rPr>
        <w:t>2.</w:t>
      </w:r>
      <w:r>
        <w:rPr>
          <w:rFonts w:hint="default" w:ascii="Times New Roman" w:hAnsi="Times New Roman" w:eastAsia="方正仿宋_GBK" w:cs="Times New Roman"/>
          <w:b/>
          <w:bCs/>
          <w:sz w:val="32"/>
          <w:szCs w:val="32"/>
        </w:rPr>
        <w:t>一般公共服务（类）纪检监察事务（款）其他纪检监察事务支出（项）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142.82</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1F057315">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rPr>
        <w:t>3.</w:t>
      </w:r>
      <w:r>
        <w:rPr>
          <w:rFonts w:hint="default" w:ascii="Times New Roman" w:hAnsi="Times New Roman" w:eastAsia="方正仿宋_GBK" w:cs="Times New Roman"/>
          <w:b/>
          <w:bCs/>
          <w:sz w:val="32"/>
          <w:szCs w:val="32"/>
        </w:rPr>
        <w:t>社会保障和就业（类）行政事业单位养老支出（款）机关事业单位基本养老保险缴费支出（项）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30.22</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25095988">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rPr>
        <w:t>4.</w:t>
      </w:r>
      <w:r>
        <w:rPr>
          <w:rFonts w:hint="default" w:ascii="Times New Roman" w:hAnsi="Times New Roman" w:eastAsia="方正仿宋_GBK" w:cs="Times New Roman"/>
          <w:b/>
          <w:bCs/>
          <w:sz w:val="32"/>
          <w:szCs w:val="32"/>
        </w:rPr>
        <w:t>社会保障和就业（类）</w:t>
      </w:r>
      <w:r>
        <w:rPr>
          <w:rFonts w:hint="default" w:ascii="Times New Roman" w:hAnsi="Times New Roman" w:eastAsia="方正仿宋_GBK" w:cs="Times New Roman"/>
          <w:b/>
          <w:bCs/>
          <w:sz w:val="32"/>
          <w:szCs w:val="32"/>
          <w:lang w:val="en-US" w:eastAsia="zh-CN"/>
        </w:rPr>
        <w:t>人力资源和社会保障管理事务</w:t>
      </w:r>
      <w:r>
        <w:rPr>
          <w:rFonts w:hint="default" w:ascii="Times New Roman" w:hAnsi="Times New Roman" w:eastAsia="方正仿宋_GBK" w:cs="Times New Roman"/>
          <w:b/>
          <w:bCs/>
          <w:sz w:val="32"/>
          <w:szCs w:val="32"/>
        </w:rPr>
        <w:t>支出（款）</w:t>
      </w:r>
      <w:r>
        <w:rPr>
          <w:rFonts w:hint="default" w:ascii="Times New Roman" w:hAnsi="Times New Roman" w:eastAsia="方正仿宋_GBK" w:cs="Times New Roman"/>
          <w:b/>
          <w:bCs/>
          <w:sz w:val="32"/>
          <w:szCs w:val="32"/>
          <w:lang w:val="en-US" w:eastAsia="zh-CN"/>
        </w:rPr>
        <w:t>其他人力资源和社会保障管理事务</w:t>
      </w:r>
      <w:r>
        <w:rPr>
          <w:rFonts w:hint="default" w:ascii="Times New Roman" w:hAnsi="Times New Roman" w:eastAsia="方正仿宋_GBK" w:cs="Times New Roman"/>
          <w:b/>
          <w:bCs/>
          <w:sz w:val="32"/>
          <w:szCs w:val="32"/>
        </w:rPr>
        <w:t>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1.6</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15887FFA">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lang w:val="en-US" w:eastAsia="zh-CN"/>
        </w:rPr>
        <w:t>5</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sz w:val="32"/>
          <w:szCs w:val="32"/>
        </w:rPr>
        <w:t>住房保障支出（类）住房改革支出（款）住房公积金（项）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22.68</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1DE54023">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kern w:val="0"/>
          <w:sz w:val="32"/>
          <w:szCs w:val="32"/>
        </w:rPr>
        <w:t>6.</w:t>
      </w:r>
      <w:r>
        <w:rPr>
          <w:rFonts w:hint="default" w:ascii="Times New Roman" w:hAnsi="Times New Roman" w:eastAsia="方正仿宋_GBK" w:cs="Times New Roman"/>
          <w:b/>
          <w:bCs/>
          <w:sz w:val="32"/>
          <w:szCs w:val="32"/>
        </w:rPr>
        <w:t>卫生健康支出</w:t>
      </w:r>
      <w:r>
        <w:rPr>
          <w:rStyle w:val="18"/>
          <w:rFonts w:hint="default" w:ascii="Times New Roman" w:hAnsi="Times New Roman" w:eastAsia="方正仿宋_GBK" w:cs="Times New Roman"/>
          <w:bCs/>
          <w:sz w:val="32"/>
          <w:szCs w:val="32"/>
        </w:rPr>
        <w:t>（类）行政事业单位医疗（款）公务员医疗补助（项）:</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bCs/>
          <w:sz w:val="32"/>
          <w:szCs w:val="32"/>
          <w:lang w:val="en-US" w:eastAsia="zh-CN"/>
        </w:rPr>
        <w:t>2.18</w:t>
      </w:r>
      <w:r>
        <w:rPr>
          <w:rStyle w:val="18"/>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sz w:val="32"/>
          <w:szCs w:val="32"/>
        </w:rPr>
        <w:t>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3D5152FE">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kern w:val="0"/>
          <w:sz w:val="32"/>
          <w:szCs w:val="32"/>
          <w:lang w:val="en-US" w:eastAsia="zh-CN"/>
        </w:rPr>
        <w:t>7</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sz w:val="32"/>
          <w:szCs w:val="32"/>
        </w:rPr>
        <w:t>卫生健康支出</w:t>
      </w:r>
      <w:r>
        <w:rPr>
          <w:rStyle w:val="18"/>
          <w:rFonts w:hint="default" w:ascii="Times New Roman" w:hAnsi="Times New Roman" w:eastAsia="方正仿宋_GBK" w:cs="Times New Roman"/>
          <w:bCs/>
          <w:sz w:val="32"/>
          <w:szCs w:val="32"/>
        </w:rPr>
        <w:t>（类）行政事业单位医疗（款）其他行政事业单位医疗支出（项）:</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bCs/>
          <w:sz w:val="32"/>
          <w:szCs w:val="32"/>
          <w:lang w:val="en-US" w:eastAsia="zh-CN"/>
        </w:rPr>
        <w:t>1.92</w:t>
      </w:r>
      <w:r>
        <w:rPr>
          <w:rStyle w:val="18"/>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sz w:val="32"/>
          <w:szCs w:val="32"/>
        </w:rPr>
        <w:t>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r>
        <w:rPr>
          <w:rFonts w:hint="default" w:ascii="Times New Roman" w:hAnsi="Times New Roman" w:eastAsia="方正仿宋_GBK" w:cs="Times New Roman"/>
          <w:sz w:val="32"/>
          <w:szCs w:val="32"/>
          <w:lang w:eastAsia="zh-CN"/>
        </w:rPr>
        <w:t>。</w:t>
      </w:r>
    </w:p>
    <w:p w14:paraId="089F88AD">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b/>
          <w:bCs/>
          <w:sz w:val="32"/>
          <w:szCs w:val="32"/>
        </w:rPr>
        <w:t>卫生健康支出</w:t>
      </w:r>
      <w:r>
        <w:rPr>
          <w:rStyle w:val="18"/>
          <w:rFonts w:hint="default" w:ascii="Times New Roman" w:hAnsi="Times New Roman" w:eastAsia="方正仿宋_GBK" w:cs="Times New Roman"/>
          <w:bCs/>
          <w:sz w:val="32"/>
          <w:szCs w:val="32"/>
        </w:rPr>
        <w:t>（类）行政事业单位医疗（款）事业单位医疗（项）:</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bCs/>
          <w:sz w:val="32"/>
          <w:szCs w:val="32"/>
          <w:lang w:val="en-US" w:eastAsia="zh-CN"/>
        </w:rPr>
        <w:t>14.79</w:t>
      </w:r>
      <w:r>
        <w:rPr>
          <w:rStyle w:val="18"/>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sz w:val="32"/>
          <w:szCs w:val="32"/>
        </w:rPr>
        <w:t>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2828BE48">
      <w:pPr>
        <w:tabs>
          <w:tab w:val="right" w:pos="8306"/>
        </w:tabs>
        <w:spacing w:line="600" w:lineRule="exact"/>
        <w:ind w:firstLine="640"/>
        <w:outlineLvl w:val="1"/>
        <w:rPr>
          <w:rStyle w:val="29"/>
          <w:rFonts w:ascii="Times New Roman" w:hAnsi="Times New Roman"/>
          <w:color w:val="auto"/>
          <w:highlight w:val="none"/>
        </w:rPr>
      </w:pPr>
      <w:bookmarkStart w:id="39" w:name="_Toc14660"/>
      <w:bookmarkStart w:id="40" w:name="_Toc15396608"/>
      <w:bookmarkStart w:id="41"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9"/>
      <w:bookmarkEnd w:id="40"/>
      <w:bookmarkEnd w:id="41"/>
      <w:r>
        <w:rPr>
          <w:rStyle w:val="29"/>
          <w:rFonts w:ascii="Times New Roman" w:hAnsi="Times New Roman" w:eastAsia="黑体"/>
          <w:b w:val="0"/>
          <w:color w:val="auto"/>
          <w:highlight w:val="none"/>
        </w:rPr>
        <w:tab/>
      </w:r>
    </w:p>
    <w:p w14:paraId="2A54B195">
      <w:pPr>
        <w:spacing w:line="600" w:lineRule="exact"/>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年度一般公共预算财政拨款基本支出</w:t>
      </w:r>
      <w:r>
        <w:rPr>
          <w:rFonts w:hint="default" w:ascii="Times New Roman" w:hAnsi="Times New Roman" w:eastAsia="方正仿宋_GBK" w:cs="Times New Roman"/>
          <w:b/>
          <w:bCs/>
          <w:sz w:val="32"/>
          <w:szCs w:val="32"/>
        </w:rPr>
        <w:t>292.01</w:t>
      </w:r>
      <w:r>
        <w:rPr>
          <w:rFonts w:hint="default" w:ascii="Times New Roman" w:hAnsi="Times New Roman" w:eastAsia="方正仿宋_GBK" w:cs="Times New Roman"/>
          <w:color w:val="auto"/>
          <w:kern w:val="2"/>
          <w:sz w:val="32"/>
          <w:szCs w:val="32"/>
          <w:highlight w:val="none"/>
          <w:lang w:val="en-US" w:eastAsia="zh-CN" w:bidi="ar-SA"/>
        </w:rPr>
        <w:t>万元，其中：</w:t>
      </w:r>
    </w:p>
    <w:p w14:paraId="020A6B8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人员经费</w:t>
      </w:r>
      <w:r>
        <w:rPr>
          <w:rFonts w:hint="default" w:ascii="Times New Roman" w:hAnsi="Times New Roman" w:eastAsia="方正仿宋_GBK" w:cs="Times New Roman"/>
          <w:b/>
          <w:bCs/>
          <w:sz w:val="32"/>
          <w:szCs w:val="32"/>
        </w:rPr>
        <w:t>269.8</w:t>
      </w:r>
      <w:r>
        <w:rPr>
          <w:rFonts w:hint="default" w:ascii="Times New Roman" w:hAnsi="Times New Roman" w:eastAsia="方正仿宋_GBK" w:cs="Times New Roman"/>
          <w:color w:val="auto"/>
          <w:kern w:val="2"/>
          <w:sz w:val="32"/>
          <w:szCs w:val="32"/>
          <w:highlight w:val="none"/>
          <w:lang w:val="en-US" w:eastAsia="zh-CN" w:bidi="ar-SA"/>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default" w:ascii="Times New Roman" w:hAnsi="Times New Roman" w:eastAsia="方正仿宋_GBK" w:cs="Times New Roman"/>
          <w:color w:val="auto"/>
          <w:kern w:val="2"/>
          <w:sz w:val="32"/>
          <w:szCs w:val="32"/>
          <w:highlight w:val="none"/>
          <w:lang w:val="en-US" w:eastAsia="zh-CN" w:bidi="ar-SA"/>
        </w:rPr>
        <w:t>　　公用经费</w:t>
      </w:r>
      <w:r>
        <w:rPr>
          <w:rFonts w:hint="default" w:ascii="Times New Roman" w:hAnsi="Times New Roman" w:eastAsia="方正仿宋_GBK" w:cs="Times New Roman"/>
          <w:b/>
          <w:bCs/>
          <w:sz w:val="32"/>
          <w:szCs w:val="32"/>
        </w:rPr>
        <w:t>22.21</w:t>
      </w:r>
      <w:r>
        <w:rPr>
          <w:rFonts w:hint="default" w:ascii="Times New Roman" w:hAnsi="Times New Roman" w:eastAsia="方正仿宋_GBK" w:cs="Times New Roman"/>
          <w:color w:val="auto"/>
          <w:kern w:val="2"/>
          <w:sz w:val="32"/>
          <w:szCs w:val="32"/>
          <w:highlight w:val="none"/>
          <w:lang w:val="en-US" w:eastAsia="zh-CN" w:bidi="ar-SA"/>
        </w:rPr>
        <w:t>万元，主要包括：办公费、印刷费、水费、电费、邮电费、取暖费、物业管理费、差旅费、维修（护）费、租赁费、会议费、培训费、公务接待费、劳务费、委托业务费、工会经费、福利费、其他交通费、税金及附加费用、其他商品和服务支出、办公设备购置、专用设备购置等。</w:t>
      </w:r>
    </w:p>
    <w:p w14:paraId="3B74081D">
      <w:pPr>
        <w:keepNext w:val="0"/>
        <w:keepLines w:val="0"/>
        <w:pageBreakBefore w:val="0"/>
        <w:widowControl w:val="0"/>
        <w:kinsoku/>
        <w:wordWrap/>
        <w:overflowPunct/>
        <w:topLinePunct w:val="0"/>
        <w:bidi w:val="0"/>
        <w:snapToGrid/>
        <w:spacing w:line="240" w:lineRule="auto"/>
        <w:ind w:firstLine="640"/>
        <w:textAlignment w:val="auto"/>
        <w:outlineLvl w:val="1"/>
        <w:rPr>
          <w:rStyle w:val="35"/>
          <w:rFonts w:ascii="黑体" w:hAnsi="黑体" w:eastAsia="黑体"/>
          <w:b w:val="0"/>
          <w:sz w:val="32"/>
          <w:szCs w:val="32"/>
        </w:rPr>
      </w:pPr>
      <w:bookmarkStart w:id="42" w:name="_Toc15396609"/>
      <w:bookmarkStart w:id="43" w:name="_Toc15377215"/>
      <w:bookmarkStart w:id="44" w:name="_Toc12406"/>
      <w:bookmarkStart w:id="45" w:name="_Toc10525"/>
      <w:r>
        <w:rPr>
          <w:rFonts w:hint="eastAsia" w:ascii="黑体" w:eastAsia="黑体"/>
          <w:sz w:val="32"/>
          <w:szCs w:val="32"/>
        </w:rPr>
        <w:t>七、</w:t>
      </w:r>
      <w:r>
        <w:rPr>
          <w:rStyle w:val="35"/>
          <w:rFonts w:hint="eastAsia" w:ascii="黑体" w:hAnsi="黑体" w:eastAsia="黑体"/>
          <w:b w:val="0"/>
          <w:sz w:val="32"/>
          <w:szCs w:val="32"/>
        </w:rPr>
        <w:t>财政拨款</w:t>
      </w:r>
      <w:r>
        <w:rPr>
          <w:rStyle w:val="35"/>
          <w:rFonts w:hint="eastAsia" w:ascii="黑体" w:hAnsi="黑体" w:eastAsia="黑体"/>
          <w:sz w:val="32"/>
          <w:szCs w:val="32"/>
        </w:rPr>
        <w:t>“</w:t>
      </w:r>
      <w:r>
        <w:rPr>
          <w:rStyle w:val="35"/>
          <w:rFonts w:hint="eastAsia" w:ascii="黑体" w:hAnsi="黑体" w:eastAsia="黑体"/>
          <w:b w:val="0"/>
          <w:sz w:val="32"/>
          <w:szCs w:val="32"/>
        </w:rPr>
        <w:t>三公”经费支出决算情况说明</w:t>
      </w:r>
      <w:bookmarkEnd w:id="42"/>
      <w:bookmarkEnd w:id="43"/>
      <w:bookmarkEnd w:id="44"/>
      <w:bookmarkEnd w:id="45"/>
    </w:p>
    <w:p w14:paraId="002BE6C6">
      <w:pPr>
        <w:keepNext w:val="0"/>
        <w:keepLines w:val="0"/>
        <w:pageBreakBefore w:val="0"/>
        <w:widowControl w:val="0"/>
        <w:kinsoku/>
        <w:wordWrap/>
        <w:overflowPunct/>
        <w:topLinePunct w:val="0"/>
        <w:bidi w:val="0"/>
        <w:snapToGrid/>
        <w:spacing w:line="240" w:lineRule="auto"/>
        <w:ind w:firstLine="640"/>
        <w:textAlignment w:val="auto"/>
        <w:outlineLvl w:val="9"/>
        <w:rPr>
          <w:rFonts w:hint="eastAsia" w:ascii="方正楷体_GBK" w:hAnsi="方正楷体_GBK" w:eastAsia="方正楷体_GBK" w:cs="方正楷体_GBK"/>
          <w:b/>
          <w:sz w:val="32"/>
          <w:szCs w:val="32"/>
        </w:rPr>
      </w:pPr>
      <w:bookmarkStart w:id="46" w:name="_Toc15377216"/>
      <w:r>
        <w:rPr>
          <w:rFonts w:hint="eastAsia" w:ascii="方正楷体_GBK" w:hAnsi="方正楷体_GBK" w:eastAsia="方正楷体_GBK" w:cs="方正楷体_GBK"/>
          <w:b/>
          <w:sz w:val="32"/>
          <w:szCs w:val="32"/>
        </w:rPr>
        <w:t>（一）“三公”经费财政拨款支出决算总体情况说明</w:t>
      </w:r>
      <w:bookmarkEnd w:id="46"/>
    </w:p>
    <w:p w14:paraId="2AA27C59">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年度“三公”经费财政拨款支出决算为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%，较上年度增加/减少</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sz w:val="32"/>
          <w:szCs w:val="32"/>
        </w:rPr>
        <w:t>万元，增长/下降</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sz w:val="32"/>
          <w:szCs w:val="32"/>
        </w:rPr>
        <w:t>%。决算数小于预算数的主要原因是我单位严格遵守中央八项规定和省、市十项规定，规范单位接待范围和接待标准，在接待过程中减少不必要的花费，厉行节约。</w:t>
      </w:r>
    </w:p>
    <w:p w14:paraId="1BB2097A">
      <w:pPr>
        <w:keepNext w:val="0"/>
        <w:keepLines w:val="0"/>
        <w:pageBreakBefore w:val="0"/>
        <w:widowControl w:val="0"/>
        <w:kinsoku/>
        <w:wordWrap/>
        <w:overflowPunct/>
        <w:topLinePunct w:val="0"/>
        <w:bidi w:val="0"/>
        <w:snapToGrid/>
        <w:spacing w:line="240" w:lineRule="auto"/>
        <w:ind w:firstLine="640"/>
        <w:textAlignment w:val="auto"/>
        <w:outlineLvl w:val="9"/>
        <w:rPr>
          <w:rFonts w:hint="eastAsia" w:ascii="方正楷体_GBK" w:hAnsi="方正楷体_GBK" w:eastAsia="方正楷体_GBK" w:cs="方正楷体_GBK"/>
          <w:b/>
          <w:sz w:val="32"/>
          <w:szCs w:val="32"/>
        </w:rPr>
      </w:pPr>
      <w:bookmarkStart w:id="47" w:name="_Toc15377217"/>
      <w:r>
        <w:rPr>
          <w:rFonts w:hint="eastAsia" w:ascii="方正楷体_GBK" w:hAnsi="方正楷体_GBK" w:eastAsia="方正楷体_GBK" w:cs="方正楷体_GBK"/>
          <w:b/>
          <w:sz w:val="32"/>
          <w:szCs w:val="32"/>
        </w:rPr>
        <w:t>（二）“三公”经费财政拨款支出决算具体情况说明</w:t>
      </w:r>
      <w:bookmarkEnd w:id="47"/>
    </w:p>
    <w:p w14:paraId="3EB9F358">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年度“三公”经费财政拨款支出决算中，因公出国（境）费支出决算</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%；公务用车购置及运行维护费支出决算</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%；公务接待费支出决算</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%。具体情况如下：</w:t>
      </w:r>
    </w:p>
    <w:p w14:paraId="639EA361">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（图7：“三公”经费财政拨款支出结构）（饼状图）</w:t>
      </w:r>
    </w:p>
    <w:p w14:paraId="46F49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32"/>
          <w:szCs w:val="32"/>
          <w:lang w:eastAsia="zh-CN"/>
        </w:rPr>
      </w:pPr>
      <w:r>
        <w:rPr>
          <w:rFonts w:hint="eastAsia" w:eastAsia="宋体"/>
          <w:sz w:val="32"/>
          <w:szCs w:val="32"/>
          <w:lang w:eastAsia="zh-CN"/>
        </w:rPr>
        <w:drawing>
          <wp:inline distT="0" distB="0" distL="114300" distR="114300">
            <wp:extent cx="3797935" cy="2028825"/>
            <wp:effectExtent l="4445" t="4445" r="7620" b="36830"/>
            <wp:docPr id="7" name="图表 7" descr="7b0a202020202263686172745265734964223a2022323034373539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939F76">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lang w:val="en-US" w:eastAsia="zh-CN"/>
        </w:rPr>
      </w:pPr>
      <w:bookmarkStart w:id="48" w:name="_Toc15377218"/>
      <w:bookmarkStart w:id="49" w:name="_Toc15396610"/>
      <w:r>
        <w:rPr>
          <w:rFonts w:hint="default" w:ascii="Times New Roman" w:hAnsi="Times New Roman" w:eastAsia="方正仿宋_GBK" w:cs="Times New Roman"/>
          <w:b/>
          <w:sz w:val="32"/>
          <w:szCs w:val="32"/>
        </w:rPr>
        <w:t>1.因公出国（境）经费支出0</w:t>
      </w:r>
      <w:r>
        <w:rPr>
          <w:rFonts w:hint="default" w:ascii="Times New Roman" w:hAnsi="Times New Roman" w:eastAsia="方正仿宋_GBK" w:cs="Times New Roman"/>
          <w:sz w:val="32"/>
          <w:szCs w:val="32"/>
        </w:rPr>
        <w:t>万元，</w:t>
      </w:r>
      <w:r>
        <w:rPr>
          <w:rStyle w:val="18"/>
          <w:rFonts w:hint="default" w:ascii="Times New Roman" w:hAnsi="Times New Roman" w:eastAsia="方正仿宋_GBK" w:cs="Times New Roman"/>
          <w:b w:val="0"/>
          <w:bCs/>
          <w:sz w:val="32"/>
          <w:szCs w:val="32"/>
        </w:rPr>
        <w:t>完成预算</w:t>
      </w:r>
      <w:r>
        <w:rPr>
          <w:rStyle w:val="18"/>
          <w:rFonts w:hint="default" w:ascii="Times New Roman" w:hAnsi="Times New Roman" w:eastAsia="方正仿宋_GBK" w:cs="Times New Roman"/>
          <w:bCs/>
          <w:sz w:val="32"/>
          <w:szCs w:val="32"/>
        </w:rPr>
        <w:t>0</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sz w:val="32"/>
          <w:szCs w:val="32"/>
        </w:rPr>
        <w:t>全年安排因公出国（境）团组</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次，出国（境）</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人。因公出国（境）支出决算比</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sz w:val="32"/>
          <w:szCs w:val="32"/>
        </w:rPr>
        <w:t>年增加/减少</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sz w:val="32"/>
          <w:szCs w:val="32"/>
        </w:rPr>
        <w:t>万元，增长/下降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未产生因公出国（境）业务。</w:t>
      </w:r>
    </w:p>
    <w:p w14:paraId="5737C83B">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2.公务用车购置及运行维护费支出0</w:t>
      </w:r>
      <w:r>
        <w:rPr>
          <w:rFonts w:hint="default" w:ascii="Times New Roman" w:hAnsi="Times New Roman" w:eastAsia="方正仿宋_GBK" w:cs="Times New Roman"/>
          <w:sz w:val="32"/>
          <w:szCs w:val="32"/>
        </w:rPr>
        <w:t>万元,</w:t>
      </w:r>
      <w:r>
        <w:rPr>
          <w:rStyle w:val="18"/>
          <w:rFonts w:hint="default" w:ascii="Times New Roman" w:hAnsi="Times New Roman" w:eastAsia="方正仿宋_GBK" w:cs="Times New Roman"/>
          <w:b w:val="0"/>
          <w:bCs/>
          <w:sz w:val="32"/>
          <w:szCs w:val="32"/>
        </w:rPr>
        <w:t>完成预算</w:t>
      </w:r>
      <w:r>
        <w:rPr>
          <w:rStyle w:val="18"/>
          <w:rFonts w:hint="default" w:ascii="Times New Roman" w:hAnsi="Times New Roman" w:eastAsia="方正仿宋_GBK" w:cs="Times New Roman"/>
          <w:bCs/>
          <w:sz w:val="32"/>
          <w:szCs w:val="32"/>
        </w:rPr>
        <w:t>0</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sz w:val="32"/>
          <w:szCs w:val="32"/>
        </w:rPr>
        <w:t>公务用车购置及运行维护费支出决算比</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sz w:val="32"/>
          <w:szCs w:val="32"/>
        </w:rPr>
        <w:t>年度增加/减少</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sz w:val="32"/>
          <w:szCs w:val="32"/>
        </w:rPr>
        <w:t>万元，增长/下降</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未产生公务用车购置及运行维护费支出</w:t>
      </w:r>
      <w:r>
        <w:rPr>
          <w:rFonts w:hint="default" w:ascii="Times New Roman" w:hAnsi="Times New Roman" w:eastAsia="方正仿宋_GBK" w:cs="Times New Roman"/>
          <w:sz w:val="32"/>
          <w:szCs w:val="32"/>
        </w:rPr>
        <w:t>。</w:t>
      </w:r>
    </w:p>
    <w:p w14:paraId="2E5B2083">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其中：</w:t>
      </w:r>
      <w:r>
        <w:rPr>
          <w:rFonts w:hint="default" w:ascii="Times New Roman" w:hAnsi="Times New Roman" w:eastAsia="方正仿宋_GBK" w:cs="Times New Roman"/>
          <w:b/>
          <w:sz w:val="32"/>
          <w:szCs w:val="32"/>
        </w:rPr>
        <w:t>公务用车购置支出0</w:t>
      </w:r>
      <w:r>
        <w:rPr>
          <w:rFonts w:hint="default" w:ascii="Times New Roman" w:hAnsi="Times New Roman" w:eastAsia="方正仿宋_GBK" w:cs="Times New Roman"/>
          <w:sz w:val="32"/>
          <w:szCs w:val="32"/>
        </w:rPr>
        <w:t>万元。全年按规定更新购置公务用车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辆，其中：轿车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万元，越野车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万元，载客汽车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万元。截至</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b/>
          <w:bCs/>
          <w:sz w:val="32"/>
          <w:szCs w:val="32"/>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b/>
          <w:bCs/>
          <w:sz w:val="32"/>
          <w:szCs w:val="32"/>
        </w:rPr>
        <w:t>31</w:t>
      </w:r>
      <w:r>
        <w:rPr>
          <w:rFonts w:hint="default" w:ascii="Times New Roman" w:hAnsi="Times New Roman" w:eastAsia="方正仿宋_GBK" w:cs="Times New Roman"/>
          <w:sz w:val="32"/>
          <w:szCs w:val="32"/>
        </w:rPr>
        <w:t>日，单位共有公务用车</w:t>
      </w:r>
      <w:r>
        <w:rPr>
          <w:rFonts w:hint="eastAsia" w:eastAsia="方正仿宋_GBK" w:cs="Times New Roman"/>
          <w:b/>
          <w:bCs/>
          <w:sz w:val="32"/>
          <w:szCs w:val="32"/>
          <w:lang w:val="en-US" w:eastAsia="zh-CN"/>
        </w:rPr>
        <w:t>1</w:t>
      </w:r>
      <w:r>
        <w:rPr>
          <w:rFonts w:hint="default" w:ascii="Times New Roman" w:hAnsi="Times New Roman" w:eastAsia="方正仿宋_GBK" w:cs="Times New Roman"/>
          <w:sz w:val="32"/>
          <w:szCs w:val="32"/>
        </w:rPr>
        <w:t>辆，其中：轿车</w:t>
      </w:r>
      <w:r>
        <w:rPr>
          <w:rFonts w:hint="eastAsia" w:eastAsia="方正仿宋_GBK" w:cs="Times New Roman"/>
          <w:b/>
          <w:bCs/>
          <w:sz w:val="32"/>
          <w:szCs w:val="32"/>
          <w:lang w:val="en-US" w:eastAsia="zh-CN"/>
        </w:rPr>
        <w:t>1</w:t>
      </w:r>
      <w:r>
        <w:rPr>
          <w:rFonts w:hint="default" w:ascii="Times New Roman" w:hAnsi="Times New Roman" w:eastAsia="方正仿宋_GBK" w:cs="Times New Roman"/>
          <w:sz w:val="32"/>
          <w:szCs w:val="32"/>
        </w:rPr>
        <w:t>辆、越野车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辆、载客汽车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w:t>
      </w:r>
    </w:p>
    <w:p w14:paraId="227064CF">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公务用车运行维护费支出0</w:t>
      </w:r>
      <w:r>
        <w:rPr>
          <w:rFonts w:hint="default" w:ascii="Times New Roman" w:hAnsi="Times New Roman" w:eastAsia="方正仿宋_GBK" w:cs="Times New Roman"/>
          <w:sz w:val="32"/>
          <w:szCs w:val="32"/>
        </w:rPr>
        <w:t>万元。主要用于参加开展监督检查、调研、办案等所需的公务用车燃料费、维修费、过路过桥费、保险费等支出。</w:t>
      </w:r>
    </w:p>
    <w:p w14:paraId="3A291BA0">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3.公务接待费支出0</w:t>
      </w:r>
      <w:r>
        <w:rPr>
          <w:rFonts w:hint="default" w:ascii="Times New Roman" w:hAnsi="Times New Roman" w:eastAsia="方正仿宋_GBK" w:cs="Times New Roman"/>
          <w:sz w:val="32"/>
          <w:szCs w:val="32"/>
        </w:rPr>
        <w:t>万元，</w:t>
      </w:r>
      <w:r>
        <w:rPr>
          <w:rStyle w:val="18"/>
          <w:rFonts w:hint="default" w:ascii="Times New Roman" w:hAnsi="Times New Roman" w:eastAsia="方正仿宋_GBK" w:cs="Times New Roman"/>
          <w:b w:val="0"/>
          <w:bCs/>
          <w:sz w:val="32"/>
          <w:szCs w:val="32"/>
        </w:rPr>
        <w:t>完成预算</w:t>
      </w:r>
      <w:r>
        <w:rPr>
          <w:rStyle w:val="18"/>
          <w:rFonts w:hint="default" w:ascii="Times New Roman" w:hAnsi="Times New Roman" w:eastAsia="方正仿宋_GBK" w:cs="Times New Roman"/>
          <w:b/>
          <w:bCs/>
          <w:sz w:val="32"/>
          <w:szCs w:val="32"/>
        </w:rPr>
        <w:t>0%</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sz w:val="32"/>
          <w:szCs w:val="32"/>
        </w:rPr>
        <w:t>公务接待费支出决算比</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sz w:val="32"/>
          <w:szCs w:val="32"/>
        </w:rPr>
        <w:t>年度增加/减少</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万元，增长/下降</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未产生公务接待费支出</w:t>
      </w:r>
      <w:r>
        <w:rPr>
          <w:rFonts w:hint="default" w:ascii="Times New Roman" w:hAnsi="Times New Roman" w:eastAsia="方正仿宋_GBK" w:cs="Times New Roman"/>
          <w:sz w:val="32"/>
          <w:szCs w:val="32"/>
        </w:rPr>
        <w:t>。其中：</w:t>
      </w:r>
    </w:p>
    <w:p w14:paraId="67637B12">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国内公务接待支出0</w:t>
      </w:r>
      <w:r>
        <w:rPr>
          <w:rFonts w:hint="default" w:ascii="Times New Roman" w:hAnsi="Times New Roman" w:eastAsia="方正仿宋_GBK" w:cs="Times New Roman"/>
          <w:sz w:val="32"/>
          <w:szCs w:val="32"/>
        </w:rPr>
        <w:t>万元，主要用于纪检监察相关工作开展、执行公务、开展业务活动开支的交通费、住宿费、用餐费等。国内公务接待</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人次（不包括陪同人员），共计支出</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14:paraId="729EB376">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外事接待支出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sz w:val="32"/>
          <w:szCs w:val="32"/>
        </w:rPr>
        <w:t>万元，主要用于接待境外来工作接待。外事接待</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sz w:val="32"/>
          <w:szCs w:val="32"/>
        </w:rPr>
        <w:t>人次（不包括陪同人员），共计支出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sz w:val="32"/>
          <w:szCs w:val="32"/>
        </w:rPr>
        <w:t>万元。</w:t>
      </w:r>
    </w:p>
    <w:p w14:paraId="664F43A9">
      <w:pPr>
        <w:keepNext w:val="0"/>
        <w:keepLines w:val="0"/>
        <w:pageBreakBefore w:val="0"/>
        <w:widowControl w:val="0"/>
        <w:kinsoku/>
        <w:wordWrap/>
        <w:overflowPunct/>
        <w:topLinePunct w:val="0"/>
        <w:bidi w:val="0"/>
        <w:snapToGrid/>
        <w:spacing w:line="240" w:lineRule="auto"/>
        <w:ind w:firstLine="640"/>
        <w:textAlignment w:val="auto"/>
        <w:outlineLvl w:val="1"/>
        <w:rPr>
          <w:rStyle w:val="35"/>
          <w:rFonts w:ascii="黑体" w:hAnsi="黑体" w:eastAsia="黑体"/>
          <w:sz w:val="32"/>
          <w:szCs w:val="32"/>
        </w:rPr>
      </w:pPr>
      <w:bookmarkStart w:id="50" w:name="_Toc10843"/>
      <w:bookmarkStart w:id="51" w:name="_Toc31417"/>
      <w:r>
        <w:rPr>
          <w:rFonts w:hint="eastAsia" w:ascii="黑体" w:eastAsia="黑体"/>
          <w:sz w:val="32"/>
          <w:szCs w:val="32"/>
        </w:rPr>
        <w:t>八、</w:t>
      </w:r>
      <w:r>
        <w:rPr>
          <w:rStyle w:val="35"/>
          <w:rFonts w:hint="eastAsia" w:ascii="黑体" w:hAnsi="黑体" w:eastAsia="黑体"/>
          <w:b w:val="0"/>
          <w:sz w:val="32"/>
          <w:szCs w:val="32"/>
        </w:rPr>
        <w:t>政府性基金预算支出决算情况说明</w:t>
      </w:r>
      <w:bookmarkEnd w:id="48"/>
      <w:bookmarkEnd w:id="49"/>
      <w:bookmarkEnd w:id="50"/>
      <w:bookmarkEnd w:id="51"/>
    </w:p>
    <w:p w14:paraId="7C86707C">
      <w:pPr>
        <w:keepNext w:val="0"/>
        <w:keepLines w:val="0"/>
        <w:pageBreakBefore w:val="0"/>
        <w:widowControl w:val="0"/>
        <w:kinsoku/>
        <w:wordWrap/>
        <w:overflowPunct/>
        <w:topLinePunct w:val="0"/>
        <w:bidi w:val="0"/>
        <w:snapToGrid/>
        <w:spacing w:line="240" w:lineRule="auto"/>
        <w:ind w:firstLine="640"/>
        <w:textAlignment w:val="auto"/>
        <w:rPr>
          <w:rFonts w:ascii="仿宋_GB2312" w:eastAsia="仿宋_GB2312"/>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年度政府性基金预算财政拨款支出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w:t>
      </w:r>
    </w:p>
    <w:p w14:paraId="2509F310">
      <w:pPr>
        <w:keepNext w:val="0"/>
        <w:keepLines w:val="0"/>
        <w:pageBreakBefore w:val="0"/>
        <w:widowControl w:val="0"/>
        <w:numPr>
          <w:ilvl w:val="0"/>
          <w:numId w:val="2"/>
        </w:numPr>
        <w:kinsoku/>
        <w:wordWrap/>
        <w:overflowPunct/>
        <w:topLinePunct w:val="0"/>
        <w:bidi w:val="0"/>
        <w:snapToGrid/>
        <w:spacing w:line="240" w:lineRule="auto"/>
        <w:ind w:firstLine="640"/>
        <w:textAlignment w:val="auto"/>
        <w:outlineLvl w:val="1"/>
        <w:rPr>
          <w:rStyle w:val="35"/>
          <w:rFonts w:ascii="黑体" w:hAnsi="黑体" w:eastAsia="黑体"/>
          <w:b w:val="0"/>
          <w:sz w:val="32"/>
          <w:szCs w:val="32"/>
        </w:rPr>
      </w:pPr>
      <w:bookmarkStart w:id="52" w:name="_Toc15852"/>
      <w:bookmarkStart w:id="53" w:name="_Toc15396611"/>
      <w:bookmarkStart w:id="54" w:name="_Toc15377219"/>
      <w:bookmarkStart w:id="55" w:name="_Toc17003"/>
      <w:r>
        <w:rPr>
          <w:rStyle w:val="35"/>
          <w:rFonts w:hint="eastAsia" w:ascii="黑体" w:hAnsi="黑体" w:eastAsia="黑体"/>
          <w:b w:val="0"/>
          <w:sz w:val="32"/>
          <w:szCs w:val="32"/>
        </w:rPr>
        <w:t>国有资本经营预算支出决算情况说明</w:t>
      </w:r>
      <w:bookmarkEnd w:id="52"/>
      <w:bookmarkEnd w:id="53"/>
      <w:bookmarkEnd w:id="54"/>
      <w:bookmarkEnd w:id="55"/>
    </w:p>
    <w:p w14:paraId="34BDF356">
      <w:pPr>
        <w:keepNext w:val="0"/>
        <w:keepLines w:val="0"/>
        <w:pageBreakBefore w:val="0"/>
        <w:widowControl w:val="0"/>
        <w:kinsoku/>
        <w:wordWrap/>
        <w:overflowPunct/>
        <w:topLinePunct w:val="0"/>
        <w:bidi w:val="0"/>
        <w:snapToGrid/>
        <w:spacing w:line="240" w:lineRule="auto"/>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年度国有资本经营预算财政拨款支出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w:t>
      </w:r>
    </w:p>
    <w:p w14:paraId="4E59C526">
      <w:pPr>
        <w:numPr>
          <w:ilvl w:val="0"/>
          <w:numId w:val="0"/>
        </w:numPr>
        <w:spacing w:line="240" w:lineRule="auto"/>
        <w:ind w:left="630" w:leftChars="0"/>
        <w:outlineLvl w:val="1"/>
        <w:rPr>
          <w:rStyle w:val="29"/>
          <w:rFonts w:hint="eastAsia" w:ascii="Times New Roman" w:hAnsi="Times New Roman" w:eastAsia="黑体"/>
          <w:b w:val="0"/>
          <w:color w:val="auto"/>
          <w:sz w:val="32"/>
          <w:szCs w:val="32"/>
          <w:highlight w:val="none"/>
        </w:rPr>
      </w:pPr>
      <w:bookmarkStart w:id="56" w:name="_Toc15377221"/>
      <w:bookmarkStart w:id="57" w:name="_Toc15396612"/>
      <w:bookmarkStart w:id="58" w:name="_Toc15473"/>
      <w:r>
        <w:rPr>
          <w:rStyle w:val="29"/>
          <w:rFonts w:hint="eastAsia" w:ascii="Times New Roman" w:hAnsi="Times New Roman" w:eastAsia="黑体"/>
          <w:b w:val="0"/>
          <w:color w:val="auto"/>
          <w:sz w:val="32"/>
          <w:szCs w:val="32"/>
          <w:highlight w:val="none"/>
          <w:lang w:eastAsia="zh-CN"/>
        </w:rPr>
        <w:t>十、</w:t>
      </w:r>
      <w:r>
        <w:rPr>
          <w:rStyle w:val="29"/>
          <w:rFonts w:hint="eastAsia" w:ascii="Times New Roman" w:hAnsi="Times New Roman" w:eastAsia="黑体"/>
          <w:b w:val="0"/>
          <w:color w:val="auto"/>
          <w:sz w:val="32"/>
          <w:szCs w:val="32"/>
          <w:highlight w:val="none"/>
        </w:rPr>
        <w:t>其他重要事项的情况说明</w:t>
      </w:r>
      <w:bookmarkEnd w:id="56"/>
      <w:bookmarkEnd w:id="57"/>
      <w:bookmarkEnd w:id="58"/>
    </w:p>
    <w:p w14:paraId="687B7BCA">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59" w:name="_Toc15377222"/>
      <w:r>
        <w:rPr>
          <w:rFonts w:hint="eastAsia" w:ascii="方正楷体_GBK" w:hAnsi="方正楷体_GBK" w:eastAsia="方正楷体_GBK" w:cs="方正楷体_GBK"/>
          <w:b/>
          <w:color w:val="auto"/>
          <w:sz w:val="32"/>
          <w:szCs w:val="32"/>
          <w:highlight w:val="none"/>
        </w:rPr>
        <w:t>（一）机关运行经费支出情况</w:t>
      </w:r>
      <w:bookmarkEnd w:id="59"/>
    </w:p>
    <w:p w14:paraId="30D0B27E">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w:t>
      </w:r>
      <w:r>
        <w:rPr>
          <w:rFonts w:hint="default" w:ascii="Times New Roman" w:hAnsi="Times New Roman" w:eastAsia="方正仿宋_GBK" w:cs="Times New Roman"/>
          <w:sz w:val="32"/>
          <w:szCs w:val="32"/>
        </w:rPr>
        <w:t>中共四川省攀枝花市纪检监察教育培训与信息中心</w:t>
      </w:r>
      <w:r>
        <w:rPr>
          <w:rFonts w:hint="default" w:ascii="Times New Roman" w:hAnsi="Times New Roman" w:eastAsia="方正仿宋_GBK" w:cs="Times New Roman"/>
          <w:color w:val="auto"/>
          <w:kern w:val="2"/>
          <w:sz w:val="32"/>
          <w:szCs w:val="32"/>
          <w:highlight w:val="none"/>
          <w:lang w:val="en-US" w:eastAsia="zh-CN" w:bidi="ar-SA"/>
        </w:rPr>
        <w:t>机关运行经费支出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b/>
          <w:bCs/>
          <w:sz w:val="32"/>
          <w:szCs w:val="32"/>
        </w:rPr>
        <w:t>202</w:t>
      </w: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sz w:val="32"/>
          <w:szCs w:val="32"/>
        </w:rPr>
        <w:t>年决算数持平。</w:t>
      </w:r>
    </w:p>
    <w:p w14:paraId="02E62BB6">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60" w:name="_Toc15377223"/>
      <w:r>
        <w:rPr>
          <w:rFonts w:hint="eastAsia" w:ascii="方正楷体_GBK" w:hAnsi="方正楷体_GBK" w:eastAsia="方正楷体_GBK" w:cs="方正楷体_GBK"/>
          <w:b/>
          <w:color w:val="auto"/>
          <w:sz w:val="32"/>
          <w:szCs w:val="32"/>
          <w:highlight w:val="none"/>
        </w:rPr>
        <w:t>（二）政府采购支出情况</w:t>
      </w:r>
      <w:bookmarkEnd w:id="60"/>
    </w:p>
    <w:p w14:paraId="1CE6BE84">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2024年度，</w:t>
      </w:r>
      <w:r>
        <w:rPr>
          <w:rFonts w:hint="default" w:ascii="Times New Roman" w:hAnsi="Times New Roman" w:eastAsia="方正仿宋_GBK" w:cs="Times New Roman"/>
          <w:sz w:val="32"/>
          <w:szCs w:val="32"/>
        </w:rPr>
        <w:t>中共四川省攀枝花市纪检监察教育培训与信息中心</w:t>
      </w:r>
      <w:r>
        <w:rPr>
          <w:rFonts w:hint="default" w:ascii="Times New Roman" w:hAnsi="Times New Roman" w:eastAsia="方正仿宋_GBK" w:cs="Times New Roman"/>
          <w:color w:val="auto"/>
          <w:kern w:val="2"/>
          <w:sz w:val="32"/>
          <w:szCs w:val="32"/>
          <w:highlight w:val="none"/>
          <w:lang w:val="en-US" w:eastAsia="zh-CN" w:bidi="ar-SA"/>
        </w:rPr>
        <w:t>政府采购支出总额</w:t>
      </w:r>
      <w:r>
        <w:rPr>
          <w:rFonts w:hint="default" w:ascii="Times New Roman" w:hAnsi="Times New Roman" w:eastAsia="方正仿宋_GBK" w:cs="Times New Roman"/>
          <w:b/>
          <w:bCs/>
          <w:sz w:val="32"/>
          <w:szCs w:val="32"/>
        </w:rPr>
        <w:t>10.6</w:t>
      </w:r>
      <w:r>
        <w:rPr>
          <w:rFonts w:hint="default" w:ascii="Times New Roman" w:hAnsi="Times New Roman" w:eastAsia="方正仿宋_GBK" w:cs="Times New Roman"/>
          <w:color w:val="auto"/>
          <w:kern w:val="2"/>
          <w:sz w:val="32"/>
          <w:szCs w:val="32"/>
          <w:highlight w:val="none"/>
          <w:lang w:val="en-US" w:eastAsia="zh-CN" w:bidi="ar-SA"/>
        </w:rPr>
        <w:t>万元，其中：政府采购货物支出</w:t>
      </w:r>
      <w:r>
        <w:rPr>
          <w:rFonts w:hint="default" w:ascii="Times New Roman" w:hAnsi="Times New Roman" w:eastAsia="方正仿宋_GBK" w:cs="Times New Roman"/>
          <w:b/>
          <w:bCs/>
          <w:sz w:val="32"/>
          <w:szCs w:val="32"/>
        </w:rPr>
        <w:t>10.6</w:t>
      </w:r>
      <w:r>
        <w:rPr>
          <w:rFonts w:hint="default" w:ascii="Times New Roman" w:hAnsi="Times New Roman" w:eastAsia="方正仿宋_GBK" w:cs="Times New Roman"/>
          <w:color w:val="auto"/>
          <w:kern w:val="2"/>
          <w:sz w:val="32"/>
          <w:szCs w:val="32"/>
          <w:highlight w:val="none"/>
          <w:lang w:val="en-US" w:eastAsia="zh-CN" w:bidi="ar-SA"/>
        </w:rPr>
        <w:t>万元、政府采购工程支出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万元、政府采购服务支出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万元。主要用于</w:t>
      </w:r>
      <w:r>
        <w:rPr>
          <w:rFonts w:hint="eastAsia" w:ascii="Times New Roman" w:hAnsi="Times New Roman" w:eastAsia="方正仿宋_GBK" w:cs="Times New Roman"/>
          <w:color w:val="auto"/>
          <w:kern w:val="2"/>
          <w:sz w:val="32"/>
          <w:szCs w:val="32"/>
          <w:highlight w:val="none"/>
          <w:lang w:val="en-US" w:eastAsia="zh-CN" w:bidi="ar-SA"/>
        </w:rPr>
        <w:t>采购打印机和碎纸机</w:t>
      </w:r>
      <w:r>
        <w:rPr>
          <w:rFonts w:hint="default" w:ascii="Times New Roman" w:hAnsi="Times New Roman" w:eastAsia="方正仿宋_GBK" w:cs="Times New Roman"/>
          <w:color w:val="auto"/>
          <w:kern w:val="2"/>
          <w:sz w:val="32"/>
          <w:szCs w:val="32"/>
          <w:highlight w:val="none"/>
          <w:lang w:val="en-US" w:eastAsia="zh-CN" w:bidi="ar-SA"/>
        </w:rPr>
        <w:t>。授予中小企业合同金额</w:t>
      </w:r>
      <w:r>
        <w:rPr>
          <w:rFonts w:hint="default" w:ascii="Times New Roman" w:hAnsi="Times New Roman" w:eastAsia="方正仿宋_GBK" w:cs="Times New Roman"/>
          <w:b/>
          <w:bCs/>
          <w:sz w:val="32"/>
          <w:szCs w:val="32"/>
        </w:rPr>
        <w:t>10.6</w:t>
      </w:r>
      <w:r>
        <w:rPr>
          <w:rFonts w:hint="default" w:ascii="Times New Roman" w:hAnsi="Times New Roman" w:eastAsia="方正仿宋_GBK" w:cs="Times New Roman"/>
          <w:color w:val="auto"/>
          <w:kern w:val="2"/>
          <w:sz w:val="32"/>
          <w:szCs w:val="32"/>
          <w:highlight w:val="none"/>
          <w:lang w:val="en-US" w:eastAsia="zh-CN" w:bidi="ar-SA"/>
        </w:rPr>
        <w:t>万元，占政府采购支出总额的</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，其中：授予小微企业合同金额</w:t>
      </w:r>
      <w:r>
        <w:rPr>
          <w:rFonts w:hint="default" w:ascii="Times New Roman" w:hAnsi="Times New Roman" w:eastAsia="方正仿宋_GBK" w:cs="Times New Roman"/>
          <w:b/>
          <w:bCs/>
          <w:sz w:val="32"/>
          <w:szCs w:val="32"/>
        </w:rPr>
        <w:t>10.6</w:t>
      </w:r>
      <w:r>
        <w:rPr>
          <w:rFonts w:hint="default" w:ascii="Times New Roman" w:hAnsi="Times New Roman" w:eastAsia="方正仿宋_GBK" w:cs="Times New Roman"/>
          <w:color w:val="auto"/>
          <w:kern w:val="2"/>
          <w:sz w:val="32"/>
          <w:szCs w:val="32"/>
          <w:highlight w:val="none"/>
          <w:lang w:val="en-US" w:eastAsia="zh-CN" w:bidi="ar-SA"/>
        </w:rPr>
        <w:t>万元，占政府采购支出总额的</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p>
    <w:p w14:paraId="42F85C69">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61" w:name="_Toc15377224"/>
      <w:r>
        <w:rPr>
          <w:rFonts w:hint="eastAsia" w:ascii="方正楷体_GBK" w:hAnsi="方正楷体_GBK" w:eastAsia="方正楷体_GBK" w:cs="方正楷体_GBK"/>
          <w:b/>
          <w:color w:val="auto"/>
          <w:sz w:val="32"/>
          <w:szCs w:val="32"/>
          <w:highlight w:val="none"/>
        </w:rPr>
        <w:t>（三）国有资产占有使用情况</w:t>
      </w:r>
      <w:bookmarkEnd w:id="61"/>
    </w:p>
    <w:p w14:paraId="0A6241BD">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截至</w:t>
      </w: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w:t>
      </w:r>
      <w:r>
        <w:rPr>
          <w:rFonts w:hint="default" w:ascii="Times New Roman" w:hAnsi="Times New Roman" w:eastAsia="方正仿宋_GBK" w:cs="Times New Roman"/>
          <w:b/>
          <w:bCs/>
          <w:color w:val="auto"/>
          <w:kern w:val="2"/>
          <w:sz w:val="32"/>
          <w:szCs w:val="32"/>
          <w:highlight w:val="none"/>
          <w:lang w:val="en-US" w:eastAsia="zh-CN" w:bidi="ar-SA"/>
        </w:rPr>
        <w:t>12</w:t>
      </w:r>
      <w:r>
        <w:rPr>
          <w:rFonts w:hint="default" w:ascii="Times New Roman" w:hAnsi="Times New Roman" w:eastAsia="方正仿宋_GBK" w:cs="Times New Roman"/>
          <w:color w:val="auto"/>
          <w:kern w:val="2"/>
          <w:sz w:val="32"/>
          <w:szCs w:val="32"/>
          <w:highlight w:val="none"/>
          <w:lang w:val="en-US" w:eastAsia="zh-CN" w:bidi="ar-SA"/>
        </w:rPr>
        <w:t>月</w:t>
      </w:r>
      <w:r>
        <w:rPr>
          <w:rFonts w:hint="default" w:ascii="Times New Roman" w:hAnsi="Times New Roman" w:eastAsia="方正仿宋_GBK" w:cs="Times New Roman"/>
          <w:b/>
          <w:bCs/>
          <w:color w:val="auto"/>
          <w:kern w:val="2"/>
          <w:sz w:val="32"/>
          <w:szCs w:val="32"/>
          <w:highlight w:val="none"/>
          <w:lang w:val="en-US" w:eastAsia="zh-CN" w:bidi="ar-SA"/>
        </w:rPr>
        <w:t>31</w:t>
      </w:r>
      <w:r>
        <w:rPr>
          <w:rFonts w:hint="default" w:ascii="Times New Roman" w:hAnsi="Times New Roman" w:eastAsia="方正仿宋_GBK" w:cs="Times New Roman"/>
          <w:color w:val="auto"/>
          <w:kern w:val="2"/>
          <w:sz w:val="32"/>
          <w:szCs w:val="32"/>
          <w:highlight w:val="none"/>
          <w:lang w:val="en-US" w:eastAsia="zh-CN" w:bidi="ar-SA"/>
        </w:rPr>
        <w:t>日，</w:t>
      </w:r>
      <w:r>
        <w:rPr>
          <w:rFonts w:hint="default" w:ascii="Times New Roman" w:hAnsi="Times New Roman" w:eastAsia="方正仿宋_GBK" w:cs="Times New Roman"/>
          <w:sz w:val="32"/>
          <w:szCs w:val="32"/>
        </w:rPr>
        <w:t>中共四川省攀枝花市纪检监察教育培训与信息中心</w:t>
      </w:r>
      <w:r>
        <w:rPr>
          <w:rFonts w:hint="default" w:ascii="Times New Roman" w:hAnsi="Times New Roman" w:eastAsia="方正仿宋_GBK" w:cs="Times New Roman"/>
          <w:color w:val="auto"/>
          <w:kern w:val="2"/>
          <w:sz w:val="32"/>
          <w:szCs w:val="32"/>
          <w:highlight w:val="none"/>
          <w:lang w:val="en-US" w:eastAsia="zh-CN" w:bidi="ar-SA"/>
        </w:rPr>
        <w:t>共有车辆</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color w:val="auto"/>
          <w:kern w:val="2"/>
          <w:sz w:val="32"/>
          <w:szCs w:val="32"/>
          <w:highlight w:val="none"/>
          <w:lang w:val="en-US" w:eastAsia="zh-CN" w:bidi="ar-SA"/>
        </w:rPr>
        <w:t>辆，其中：主要负责人用车</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辆、机要通信用车</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辆、应急保障用车</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辆、其他用车</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color w:val="auto"/>
          <w:kern w:val="2"/>
          <w:sz w:val="32"/>
          <w:szCs w:val="32"/>
          <w:highlight w:val="none"/>
          <w:lang w:val="en-US" w:eastAsia="zh-CN" w:bidi="ar-SA"/>
        </w:rPr>
        <w:t>辆。单价</w:t>
      </w:r>
      <w:r>
        <w:rPr>
          <w:rFonts w:hint="default" w:ascii="Times New Roman" w:hAnsi="Times New Roman" w:eastAsia="方正仿宋_GBK" w:cs="Times New Roman"/>
          <w:b/>
          <w:bCs/>
          <w:color w:val="auto"/>
          <w:kern w:val="2"/>
          <w:sz w:val="32"/>
          <w:szCs w:val="32"/>
          <w:highlight w:val="none"/>
          <w:lang w:val="en-US" w:eastAsia="zh-CN" w:bidi="ar-SA"/>
        </w:rPr>
        <w:t>100</w:t>
      </w:r>
      <w:r>
        <w:rPr>
          <w:rFonts w:hint="default" w:ascii="Times New Roman" w:hAnsi="Times New Roman" w:eastAsia="方正仿宋_GBK" w:cs="Times New Roman"/>
          <w:color w:val="auto"/>
          <w:kern w:val="2"/>
          <w:sz w:val="32"/>
          <w:szCs w:val="32"/>
          <w:highlight w:val="none"/>
          <w:lang w:val="en-US" w:eastAsia="zh-CN" w:bidi="ar-SA"/>
        </w:rPr>
        <w:t>万元（含）以上设备（不含车辆）</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台（套）。</w:t>
      </w:r>
    </w:p>
    <w:p w14:paraId="440A549B">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（四）预算绩效管理情况</w:t>
      </w:r>
    </w:p>
    <w:p w14:paraId="6FAC30B4">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w:t>
      </w:r>
      <w:r>
        <w:rPr>
          <w:rFonts w:hint="eastAsia" w:ascii="Times New Roman" w:hAnsi="Times New Roman" w:eastAsia="仿宋_GB2312" w:cs="仿宋_GB2312"/>
          <w:b/>
          <w:bCs/>
          <w:color w:val="auto"/>
          <w:kern w:val="2"/>
          <w:sz w:val="32"/>
          <w:szCs w:val="32"/>
          <w:highlight w:val="none"/>
          <w:lang w:val="en-US" w:eastAsia="zh-CN" w:bidi="ar-SA"/>
        </w:rPr>
        <w:t>2024</w:t>
      </w:r>
      <w:r>
        <w:rPr>
          <w:rFonts w:hint="eastAsia" w:ascii="Times New Roman" w:hAnsi="Times New Roman" w:eastAsia="仿宋_GB2312" w:cs="仿宋_GB2312"/>
          <w:color w:val="auto"/>
          <w:kern w:val="2"/>
          <w:sz w:val="32"/>
          <w:szCs w:val="32"/>
          <w:highlight w:val="none"/>
          <w:lang w:val="en-US" w:eastAsia="zh-CN" w:bidi="ar-SA"/>
        </w:rPr>
        <w:t>年度预算编制阶段，组织对</w:t>
      </w:r>
      <w:r>
        <w:rPr>
          <w:rFonts w:hint="eastAsia" w:eastAsia="仿宋_GB2312" w:cs="仿宋_GB2312"/>
          <w:color w:val="auto"/>
          <w:kern w:val="2"/>
          <w:sz w:val="32"/>
          <w:szCs w:val="32"/>
          <w:highlight w:val="none"/>
          <w:lang w:val="en-US" w:eastAsia="zh-CN" w:bidi="ar-SA"/>
        </w:rPr>
        <w:t>留置中心运行维护费</w:t>
      </w: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5B175992">
      <w:pPr>
        <w:bidi w:val="0"/>
        <w:rPr>
          <w:rFonts w:hint="eastAsia"/>
          <w:lang w:val="en-US" w:eastAsia="zh-CN"/>
        </w:rPr>
      </w:pPr>
    </w:p>
    <w:p w14:paraId="210D4B50">
      <w:pPr>
        <w:bidi w:val="0"/>
        <w:rPr>
          <w:rFonts w:hint="eastAsia"/>
          <w:lang w:val="en-US" w:eastAsia="zh-CN"/>
        </w:rPr>
      </w:pPr>
    </w:p>
    <w:p w14:paraId="4A2AFDCB">
      <w:pPr>
        <w:bidi w:val="0"/>
        <w:rPr>
          <w:rFonts w:hint="eastAsia"/>
          <w:lang w:val="en-US" w:eastAsia="zh-CN"/>
        </w:rPr>
      </w:pPr>
    </w:p>
    <w:p w14:paraId="03ADE609">
      <w:pPr>
        <w:bidi w:val="0"/>
        <w:rPr>
          <w:rFonts w:hint="eastAsia"/>
          <w:lang w:val="en-US" w:eastAsia="zh-CN"/>
        </w:rPr>
      </w:pPr>
    </w:p>
    <w:p w14:paraId="7A718088">
      <w:pPr>
        <w:bidi w:val="0"/>
        <w:rPr>
          <w:rFonts w:hint="eastAsia"/>
          <w:lang w:val="en-US" w:eastAsia="zh-CN"/>
        </w:rPr>
      </w:pPr>
    </w:p>
    <w:p w14:paraId="2E4E0C96">
      <w:pPr>
        <w:bidi w:val="0"/>
        <w:rPr>
          <w:rFonts w:hint="eastAsia"/>
          <w:lang w:val="en-US" w:eastAsia="zh-CN"/>
        </w:rPr>
      </w:pPr>
    </w:p>
    <w:p w14:paraId="31A2F25B">
      <w:pPr>
        <w:bidi w:val="0"/>
        <w:rPr>
          <w:rFonts w:hint="eastAsia"/>
          <w:lang w:val="en-US" w:eastAsia="zh-CN"/>
        </w:rPr>
      </w:pPr>
    </w:p>
    <w:p w14:paraId="2A43A4E4">
      <w:pPr>
        <w:bidi w:val="0"/>
        <w:rPr>
          <w:rFonts w:hint="eastAsia"/>
          <w:lang w:val="en-US" w:eastAsia="zh-CN"/>
        </w:rPr>
      </w:pPr>
    </w:p>
    <w:p w14:paraId="2CED2AE2">
      <w:pPr>
        <w:bidi w:val="0"/>
        <w:rPr>
          <w:rFonts w:hint="eastAsia"/>
          <w:lang w:val="en-US" w:eastAsia="zh-CN"/>
        </w:rPr>
      </w:pPr>
    </w:p>
    <w:p w14:paraId="6A76EDA7">
      <w:pPr>
        <w:bidi w:val="0"/>
        <w:rPr>
          <w:rFonts w:hint="eastAsia"/>
          <w:lang w:val="en-US" w:eastAsia="zh-CN"/>
        </w:rPr>
      </w:pPr>
    </w:p>
    <w:p w14:paraId="73E99841">
      <w:pPr>
        <w:bidi w:val="0"/>
        <w:rPr>
          <w:rFonts w:hint="eastAsia"/>
          <w:lang w:val="en-US" w:eastAsia="zh-CN"/>
        </w:rPr>
      </w:pPr>
    </w:p>
    <w:p w14:paraId="471CC586">
      <w:pPr>
        <w:bidi w:val="0"/>
        <w:rPr>
          <w:rFonts w:hint="eastAsia"/>
          <w:lang w:val="en-US" w:eastAsia="zh-CN"/>
        </w:rPr>
      </w:pPr>
    </w:p>
    <w:p w14:paraId="208B6587">
      <w:pPr>
        <w:bidi w:val="0"/>
        <w:rPr>
          <w:rFonts w:hint="eastAsia"/>
          <w:lang w:val="en-US" w:eastAsia="zh-CN"/>
        </w:rPr>
      </w:pPr>
    </w:p>
    <w:p w14:paraId="23E0347A">
      <w:pPr>
        <w:bidi w:val="0"/>
        <w:rPr>
          <w:rFonts w:hint="eastAsia"/>
          <w:lang w:val="en-US" w:eastAsia="zh-CN"/>
        </w:rPr>
      </w:pPr>
    </w:p>
    <w:p w14:paraId="3907AD7A">
      <w:pPr>
        <w:bidi w:val="0"/>
        <w:rPr>
          <w:rFonts w:hint="eastAsia"/>
          <w:lang w:val="en-US" w:eastAsia="zh-CN"/>
        </w:rPr>
      </w:pPr>
    </w:p>
    <w:p w14:paraId="239E5735">
      <w:pPr>
        <w:bidi w:val="0"/>
        <w:rPr>
          <w:rFonts w:hint="eastAsia"/>
          <w:lang w:val="en-US" w:eastAsia="zh-CN"/>
        </w:rPr>
      </w:pPr>
    </w:p>
    <w:p w14:paraId="2AC37E2C">
      <w:pPr>
        <w:bidi w:val="0"/>
        <w:rPr>
          <w:rFonts w:hint="eastAsia"/>
          <w:lang w:val="en-US" w:eastAsia="zh-CN"/>
        </w:rPr>
      </w:pPr>
    </w:p>
    <w:p w14:paraId="4482F294">
      <w:pPr>
        <w:bidi w:val="0"/>
        <w:rPr>
          <w:rFonts w:hint="eastAsia"/>
          <w:lang w:val="en-US" w:eastAsia="zh-CN"/>
        </w:rPr>
      </w:pPr>
    </w:p>
    <w:p w14:paraId="0319576F">
      <w:pPr>
        <w:pStyle w:val="3"/>
        <w:spacing w:line="240" w:lineRule="auto"/>
        <w:jc w:val="center"/>
        <w:rPr>
          <w:rFonts w:hint="eastAsia" w:ascii="Times New Roman" w:hAnsi="Times New Roman" w:eastAsia="方正小标宋简体" w:cs="方正小标宋简体"/>
          <w:b w:val="0"/>
          <w:color w:val="auto"/>
          <w:highlight w:val="none"/>
        </w:rPr>
      </w:pPr>
      <w:bookmarkStart w:id="62" w:name="_Toc19822"/>
      <w:bookmarkStart w:id="63" w:name="_Toc15377225"/>
      <w:bookmarkStart w:id="64" w:name="_Toc15396613"/>
      <w:bookmarkStart w:id="65" w:name="_Toc7189"/>
      <w:r>
        <w:rPr>
          <w:rFonts w:hint="eastAsia" w:ascii="Times New Roman" w:hAnsi="Times New Roman" w:eastAsia="方正小标宋简体" w:cs="方正小标宋简体"/>
          <w:b w:val="0"/>
          <w:color w:val="auto"/>
          <w:highlight w:val="none"/>
        </w:rPr>
        <w:t>第</w:t>
      </w:r>
      <w:r>
        <w:rPr>
          <w:rFonts w:hint="eastAsia" w:ascii="Times New Roman" w:hAnsi="Times New Roman" w:eastAsia="方正小标宋简体" w:cs="方正小标宋简体"/>
          <w:b w:val="0"/>
          <w:color w:val="auto"/>
          <w:highlight w:val="none"/>
          <w:lang w:eastAsia="zh-CN"/>
        </w:rPr>
        <w:t>三</w:t>
      </w:r>
      <w:r>
        <w:rPr>
          <w:rFonts w:hint="eastAsia" w:ascii="Times New Roman" w:hAnsi="Times New Roman" w:eastAsia="方正小标宋简体" w:cs="方正小标宋简体"/>
          <w:b w:val="0"/>
          <w:color w:val="auto"/>
          <w:highlight w:val="none"/>
        </w:rPr>
        <w:t>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名词解释</w:t>
      </w:r>
      <w:bookmarkEnd w:id="62"/>
      <w:bookmarkEnd w:id="63"/>
      <w:bookmarkEnd w:id="64"/>
      <w:bookmarkEnd w:id="65"/>
    </w:p>
    <w:p w14:paraId="7EAF230A">
      <w:pPr>
        <w:spacing w:line="240" w:lineRule="auto"/>
        <w:jc w:val="left"/>
        <w:rPr>
          <w:rFonts w:ascii="Times New Roman" w:hAnsi="Times New Roman"/>
          <w:b/>
          <w:color w:val="auto"/>
          <w:sz w:val="32"/>
          <w:szCs w:val="32"/>
          <w:highlight w:val="none"/>
        </w:rPr>
      </w:pPr>
    </w:p>
    <w:p w14:paraId="6C2A0C52">
      <w:pPr>
        <w:spacing w:line="576" w:lineRule="exact"/>
        <w:ind w:firstLine="640"/>
        <w:outlineLvl w:val="9"/>
        <w:rPr>
          <w:rFonts w:hint="default" w:ascii="Times New Roman" w:hAnsi="Times New Roman" w:eastAsia="方正仿宋_GBK" w:cs="Times New Roman"/>
          <w:sz w:val="32"/>
          <w:szCs w:val="32"/>
        </w:rPr>
      </w:pPr>
      <w:bookmarkStart w:id="66" w:name="_Toc15377226"/>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财政拨款收入：指单位从同级财政部门取得的财政预算资金。</w:t>
      </w:r>
    </w:p>
    <w:p w14:paraId="61EE3E26">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事业收入：指事业单位开展专业业务活动及辅助活动取得的收入。</w:t>
      </w:r>
    </w:p>
    <w:p w14:paraId="1366D633">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经营收入：指事业单位在专业业务活动及其辅助活动之外开展非独立核算经营活动取得的收入。</w:t>
      </w:r>
    </w:p>
    <w:p w14:paraId="5E88E53F">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其他收入：指单位取得的除上述收入以外的各项收入。主要是单位的存款利息收入等。</w:t>
      </w:r>
    </w:p>
    <w:p w14:paraId="185A2F1B">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2B9FF251">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年初结转和结余：指以前年度尚未完成、结转到本年按有关规定继续使用的资金。 </w:t>
      </w:r>
    </w:p>
    <w:p w14:paraId="37884181">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结余分配：指事业单位按照事业单位会计制度的规定从非财政补助结余中分配的事业基金和职工福利基金等。</w:t>
      </w:r>
    </w:p>
    <w:p w14:paraId="6C452AD2">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年末结转和结余：指单位按有关规定结转到下年或以后年度继续使用的资金。</w:t>
      </w:r>
    </w:p>
    <w:p w14:paraId="1BC4DB41">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一般公共服务（类）纪检监察事务（款）其他纪检监察事务支出（项）：指其他纪检监察事务方面的支出。 </w:t>
      </w:r>
    </w:p>
    <w:p w14:paraId="060B2228">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社会保障和就业（类）行政事业单位养老支出（款）机关事业单位基本养老保险缴费支出（项）：指机关事业单位并轨后基本养老保险缴费支出。</w:t>
      </w:r>
    </w:p>
    <w:p w14:paraId="61817518">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一般公共服务（类）纪检监察事务（款）事业运行（项）：指事业单位的职工基本工资、津贴补贴等人员经费的发放，以及事业单位的基本支出。</w:t>
      </w:r>
    </w:p>
    <w:p w14:paraId="184FF12C">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卫生健康支出（类）行政事业单位医疗（款）事业单位医疗（项）</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指单位职工其他医疗保障支出。</w:t>
      </w:r>
    </w:p>
    <w:p w14:paraId="5F90C343">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住房保障支出（类）住房改革支出（款）住房公积金（项）：指职工住房公积金支出。</w:t>
      </w:r>
    </w:p>
    <w:p w14:paraId="4C60E495">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基本支出：指为保障机构正常运转、完成日常工作任务而发生的人员支出和公用支出。</w:t>
      </w:r>
    </w:p>
    <w:p w14:paraId="792BDBF3">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项目支出：指在基本支出之外为完成特定行政任务和事业发展目标所发生的支出。 </w:t>
      </w:r>
    </w:p>
    <w:p w14:paraId="44F7EF84">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经营支出：指事业单位在专业业务活动及其辅助活动之外开展非独立核算经营活动发生的支出。</w:t>
      </w:r>
    </w:p>
    <w:p w14:paraId="1CC6C9EB">
      <w:pPr>
        <w:spacing w:line="600" w:lineRule="exact"/>
        <w:ind w:firstLine="640" w:firstLineChars="20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运行维护费反映单位按规定保留的公务用车燃料费、维修费、过路过桥费、保险费、安全奖励费用等支出；公务接待费反映单位按规定开支的各类公务接待（含外宾接待）费用。</w:t>
      </w:r>
    </w:p>
    <w:p w14:paraId="479E91F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br w:type="page"/>
      </w:r>
      <w:bookmarkStart w:id="67" w:name="_Toc15396618"/>
    </w:p>
    <w:p w14:paraId="2BAFB4E2">
      <w:pPr>
        <w:pStyle w:val="3"/>
        <w:spacing w:line="240" w:lineRule="auto"/>
        <w:jc w:val="center"/>
        <w:rPr>
          <w:rStyle w:val="36"/>
          <w:rFonts w:hint="eastAsia" w:ascii="黑体" w:hAnsi="黑体" w:eastAsia="黑体"/>
          <w:b w:val="0"/>
          <w:bCs/>
        </w:rPr>
      </w:pPr>
      <w:bookmarkStart w:id="68" w:name="_Toc3131"/>
      <w:bookmarkStart w:id="69" w:name="_Toc14200"/>
      <w:bookmarkStart w:id="70" w:name="_Toc15396614"/>
      <w:bookmarkStart w:id="71" w:name="_Toc1774"/>
      <w:r>
        <w:rPr>
          <w:rStyle w:val="36"/>
          <w:rFonts w:hint="eastAsia" w:ascii="黑体" w:hAnsi="黑体" w:eastAsia="黑体"/>
          <w:b w:val="0"/>
          <w:bCs/>
          <w:lang w:val="en-US" w:eastAsia="zh-CN"/>
        </w:rPr>
        <w:t xml:space="preserve">第四部分  </w:t>
      </w:r>
      <w:r>
        <w:rPr>
          <w:rStyle w:val="36"/>
          <w:rFonts w:hint="eastAsia" w:ascii="黑体" w:hAnsi="黑体" w:eastAsia="黑体"/>
          <w:b w:val="0"/>
          <w:bCs/>
        </w:rPr>
        <w:t>附件</w:t>
      </w:r>
      <w:bookmarkEnd w:id="68"/>
      <w:bookmarkEnd w:id="69"/>
      <w:bookmarkEnd w:id="70"/>
    </w:p>
    <w:bookmarkEnd w:id="71"/>
    <w:p w14:paraId="56F02BF2">
      <w:pPr>
        <w:spacing w:line="600" w:lineRule="exact"/>
        <w:jc w:val="center"/>
        <w:outlineLvl w:val="9"/>
        <w:rPr>
          <w:rFonts w:hint="eastAsia"/>
        </w:rPr>
      </w:pPr>
      <w:r>
        <w:rPr>
          <w:rFonts w:hint="default" w:ascii="Times New Roman" w:hAnsi="Times New Roman" w:eastAsia="方正仿宋_GBK" w:cs="Times New Roman"/>
          <w:sz w:val="33"/>
          <w:szCs w:val="33"/>
        </w:rPr>
        <w:t>部门预算项目支出绩效自评表（202</w:t>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年度）</w:t>
      </w:r>
      <w:r>
        <w:rPr>
          <w:rFonts w:hint="eastAsia" w:eastAsia="方正仿宋_GBK" w:cs="Times New Roman"/>
          <w:sz w:val="33"/>
          <w:szCs w:val="33"/>
          <w:lang w:val="en-US" w:eastAsia="zh-CN"/>
        </w:rPr>
        <w:t>见附件3</w:t>
      </w:r>
    </w:p>
    <w:p w14:paraId="15AB04FE">
      <w:pPr>
        <w:widowControl/>
        <w:jc w:val="center"/>
        <w:rPr>
          <w:rFonts w:hint="eastAsia" w:ascii="Times New Roman" w:hAnsi="Times New Roman" w:eastAsia="黑体"/>
          <w:color w:val="auto"/>
          <w:sz w:val="44"/>
          <w:szCs w:val="44"/>
          <w:highlight w:val="none"/>
        </w:rPr>
      </w:pPr>
    </w:p>
    <w:p w14:paraId="15C06775">
      <w:pPr>
        <w:widowControl/>
        <w:jc w:val="center"/>
        <w:rPr>
          <w:rFonts w:hint="eastAsia" w:ascii="Times New Roman" w:hAnsi="Times New Roman" w:eastAsia="黑体"/>
          <w:color w:val="auto"/>
          <w:sz w:val="44"/>
          <w:szCs w:val="44"/>
          <w:highlight w:val="none"/>
        </w:rPr>
      </w:pPr>
    </w:p>
    <w:p w14:paraId="29050805">
      <w:pPr>
        <w:widowControl/>
        <w:jc w:val="center"/>
        <w:rPr>
          <w:rFonts w:hint="eastAsia" w:ascii="Times New Roman" w:hAnsi="Times New Roman" w:eastAsia="黑体"/>
          <w:color w:val="auto"/>
          <w:sz w:val="44"/>
          <w:szCs w:val="44"/>
          <w:highlight w:val="none"/>
        </w:rPr>
      </w:pPr>
    </w:p>
    <w:p w14:paraId="7611B517">
      <w:pPr>
        <w:widowControl/>
        <w:jc w:val="center"/>
        <w:rPr>
          <w:rFonts w:hint="eastAsia" w:ascii="Times New Roman" w:hAnsi="Times New Roman" w:eastAsia="黑体"/>
          <w:color w:val="auto"/>
          <w:sz w:val="44"/>
          <w:szCs w:val="44"/>
          <w:highlight w:val="none"/>
        </w:rPr>
      </w:pPr>
    </w:p>
    <w:p w14:paraId="78AEED32">
      <w:pPr>
        <w:widowControl/>
        <w:jc w:val="center"/>
        <w:rPr>
          <w:rFonts w:hint="eastAsia" w:ascii="Times New Roman" w:hAnsi="Times New Roman" w:eastAsia="黑体"/>
          <w:color w:val="auto"/>
          <w:sz w:val="44"/>
          <w:szCs w:val="44"/>
          <w:highlight w:val="none"/>
        </w:rPr>
      </w:pPr>
    </w:p>
    <w:p w14:paraId="114CF95F">
      <w:pPr>
        <w:widowControl/>
        <w:jc w:val="center"/>
        <w:rPr>
          <w:rFonts w:hint="eastAsia" w:ascii="Times New Roman" w:hAnsi="Times New Roman" w:eastAsia="黑体"/>
          <w:color w:val="auto"/>
          <w:sz w:val="44"/>
          <w:szCs w:val="44"/>
          <w:highlight w:val="none"/>
        </w:rPr>
      </w:pPr>
    </w:p>
    <w:p w14:paraId="4C13F1BB">
      <w:pPr>
        <w:widowControl/>
        <w:jc w:val="center"/>
        <w:rPr>
          <w:rFonts w:hint="eastAsia" w:ascii="Times New Roman" w:hAnsi="Times New Roman" w:eastAsia="黑体"/>
          <w:color w:val="auto"/>
          <w:sz w:val="44"/>
          <w:szCs w:val="44"/>
          <w:highlight w:val="none"/>
        </w:rPr>
      </w:pPr>
    </w:p>
    <w:p w14:paraId="7D5E0346">
      <w:pPr>
        <w:widowControl/>
        <w:jc w:val="center"/>
        <w:rPr>
          <w:rFonts w:hint="eastAsia" w:ascii="Times New Roman" w:hAnsi="Times New Roman" w:eastAsia="黑体"/>
          <w:color w:val="auto"/>
          <w:sz w:val="44"/>
          <w:szCs w:val="44"/>
          <w:highlight w:val="none"/>
        </w:rPr>
      </w:pPr>
    </w:p>
    <w:p w14:paraId="23B17D98">
      <w:pPr>
        <w:widowControl/>
        <w:jc w:val="center"/>
        <w:rPr>
          <w:rFonts w:hint="eastAsia" w:ascii="Times New Roman" w:hAnsi="Times New Roman" w:eastAsia="黑体"/>
          <w:color w:val="auto"/>
          <w:sz w:val="44"/>
          <w:szCs w:val="44"/>
          <w:highlight w:val="none"/>
        </w:rPr>
      </w:pPr>
    </w:p>
    <w:p w14:paraId="271A30AE">
      <w:pPr>
        <w:widowControl/>
        <w:jc w:val="center"/>
        <w:rPr>
          <w:rFonts w:hint="eastAsia" w:ascii="Times New Roman" w:hAnsi="Times New Roman" w:eastAsia="黑体"/>
          <w:color w:val="auto"/>
          <w:sz w:val="44"/>
          <w:szCs w:val="44"/>
          <w:highlight w:val="none"/>
        </w:rPr>
      </w:pPr>
    </w:p>
    <w:p w14:paraId="74994C81">
      <w:pPr>
        <w:widowControl/>
        <w:jc w:val="center"/>
        <w:rPr>
          <w:rFonts w:hint="eastAsia" w:ascii="Times New Roman" w:hAnsi="Times New Roman" w:eastAsia="黑体"/>
          <w:color w:val="auto"/>
          <w:sz w:val="44"/>
          <w:szCs w:val="44"/>
          <w:highlight w:val="none"/>
        </w:rPr>
      </w:pPr>
    </w:p>
    <w:p w14:paraId="67D6D492">
      <w:pPr>
        <w:widowControl/>
        <w:jc w:val="center"/>
        <w:rPr>
          <w:rFonts w:hint="eastAsia" w:ascii="Times New Roman" w:hAnsi="Times New Roman" w:eastAsia="黑体"/>
          <w:color w:val="auto"/>
          <w:sz w:val="44"/>
          <w:szCs w:val="44"/>
          <w:highlight w:val="none"/>
        </w:rPr>
      </w:pPr>
    </w:p>
    <w:p w14:paraId="4E2C8229">
      <w:pPr>
        <w:widowControl/>
        <w:jc w:val="center"/>
        <w:rPr>
          <w:rFonts w:hint="eastAsia" w:ascii="Times New Roman" w:hAnsi="Times New Roman" w:eastAsia="黑体"/>
          <w:color w:val="auto"/>
          <w:sz w:val="44"/>
          <w:szCs w:val="44"/>
          <w:highlight w:val="none"/>
        </w:rPr>
      </w:pPr>
    </w:p>
    <w:p w14:paraId="66ED61AF">
      <w:pPr>
        <w:widowControl/>
        <w:jc w:val="center"/>
        <w:rPr>
          <w:rFonts w:hint="eastAsia" w:ascii="Times New Roman" w:hAnsi="Times New Roman" w:eastAsia="黑体"/>
          <w:color w:val="auto"/>
          <w:sz w:val="44"/>
          <w:szCs w:val="44"/>
          <w:highlight w:val="none"/>
        </w:rPr>
      </w:pPr>
    </w:p>
    <w:p w14:paraId="54ADBF18">
      <w:pPr>
        <w:widowControl/>
        <w:jc w:val="center"/>
        <w:rPr>
          <w:rFonts w:hint="eastAsia" w:ascii="Times New Roman" w:hAnsi="Times New Roman" w:eastAsia="黑体"/>
          <w:color w:val="auto"/>
          <w:sz w:val="44"/>
          <w:szCs w:val="44"/>
          <w:highlight w:val="none"/>
        </w:rPr>
      </w:pPr>
    </w:p>
    <w:p w14:paraId="7C6D9111">
      <w:pPr>
        <w:widowControl/>
        <w:jc w:val="center"/>
        <w:rPr>
          <w:rFonts w:hint="eastAsia" w:ascii="Times New Roman" w:hAnsi="Times New Roman" w:eastAsia="黑体"/>
          <w:color w:val="auto"/>
          <w:sz w:val="44"/>
          <w:szCs w:val="44"/>
          <w:highlight w:val="none"/>
        </w:rPr>
      </w:pPr>
    </w:p>
    <w:p w14:paraId="146663B1">
      <w:pPr>
        <w:widowControl/>
        <w:jc w:val="center"/>
        <w:rPr>
          <w:rFonts w:hint="eastAsia" w:ascii="Times New Roman" w:hAnsi="Times New Roman" w:eastAsia="黑体"/>
          <w:color w:val="auto"/>
          <w:sz w:val="44"/>
          <w:szCs w:val="44"/>
          <w:highlight w:val="none"/>
        </w:rPr>
      </w:pPr>
    </w:p>
    <w:p w14:paraId="3160E3F3">
      <w:pPr>
        <w:widowControl/>
        <w:jc w:val="center"/>
        <w:rPr>
          <w:rFonts w:hint="eastAsia" w:ascii="Times New Roman" w:hAnsi="Times New Roman" w:eastAsia="黑体"/>
          <w:color w:val="auto"/>
          <w:sz w:val="44"/>
          <w:szCs w:val="44"/>
          <w:highlight w:val="none"/>
        </w:rPr>
      </w:pPr>
    </w:p>
    <w:p w14:paraId="7234D230">
      <w:pPr>
        <w:widowControl/>
        <w:jc w:val="both"/>
        <w:rPr>
          <w:rFonts w:hint="eastAsia" w:ascii="Times New Roman" w:hAnsi="Times New Roman" w:eastAsia="黑体"/>
          <w:color w:val="auto"/>
          <w:sz w:val="44"/>
          <w:szCs w:val="44"/>
          <w:highlight w:val="none"/>
        </w:rPr>
      </w:pPr>
    </w:p>
    <w:p w14:paraId="4C883615">
      <w:pPr>
        <w:pStyle w:val="3"/>
        <w:spacing w:line="240" w:lineRule="auto"/>
        <w:jc w:val="center"/>
        <w:rPr>
          <w:rFonts w:hint="eastAsia" w:ascii="Times New Roman" w:hAnsi="Times New Roman" w:eastAsia="方正小标宋简体" w:cs="方正小标宋简体"/>
          <w:b w:val="0"/>
          <w:color w:val="auto"/>
          <w:highlight w:val="none"/>
        </w:rPr>
      </w:pPr>
      <w:bookmarkStart w:id="72" w:name="_Toc28090"/>
      <w:r>
        <w:rPr>
          <w:rFonts w:hint="eastAsia" w:ascii="Times New Roman" w:hAnsi="Times New Roman" w:eastAsia="方正小标宋简体" w:cs="方正小标宋简体"/>
          <w:b w:val="0"/>
          <w:color w:val="auto"/>
          <w:highlight w:val="none"/>
        </w:rPr>
        <w:t>第五部分</w:t>
      </w:r>
      <w:r>
        <w:rPr>
          <w:rFonts w:hint="eastAsia"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附表</w:t>
      </w:r>
      <w:bookmarkEnd w:id="66"/>
      <w:bookmarkEnd w:id="67"/>
      <w:bookmarkEnd w:id="72"/>
      <w:bookmarkStart w:id="73" w:name="_Toc15396619"/>
    </w:p>
    <w:p w14:paraId="07CFDEB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6F392B2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74" w:name="_Toc22008"/>
      <w:r>
        <w:rPr>
          <w:rFonts w:hint="eastAsia" w:ascii="Times New Roman" w:hAnsi="Times New Roman" w:eastAsia="仿宋_GB2312" w:cs="仿宋_GB2312"/>
          <w:color w:val="auto"/>
          <w:sz w:val="32"/>
          <w:szCs w:val="32"/>
          <w:highlight w:val="none"/>
        </w:rPr>
        <w:t>一、收入支出决算总表</w:t>
      </w:r>
      <w:bookmarkEnd w:id="73"/>
      <w:bookmarkEnd w:id="74"/>
    </w:p>
    <w:p w14:paraId="2780B8E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75" w:name="_Toc957"/>
      <w:bookmarkStart w:id="76" w:name="_Toc15396620"/>
      <w:r>
        <w:rPr>
          <w:rFonts w:hint="eastAsia" w:ascii="Times New Roman" w:hAnsi="Times New Roman" w:eastAsia="仿宋_GB2312" w:cs="仿宋_GB2312"/>
          <w:color w:val="auto"/>
          <w:sz w:val="32"/>
          <w:szCs w:val="32"/>
          <w:highlight w:val="none"/>
        </w:rPr>
        <w:t>二、收入决算表</w:t>
      </w:r>
      <w:bookmarkEnd w:id="75"/>
      <w:bookmarkEnd w:id="76"/>
    </w:p>
    <w:p w14:paraId="49E3B5A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77" w:name="_Toc15396621"/>
      <w:bookmarkStart w:id="78" w:name="_Toc24805"/>
      <w:r>
        <w:rPr>
          <w:rFonts w:hint="eastAsia" w:ascii="Times New Roman" w:hAnsi="Times New Roman" w:eastAsia="仿宋_GB2312" w:cs="仿宋_GB2312"/>
          <w:color w:val="auto"/>
          <w:sz w:val="32"/>
          <w:szCs w:val="32"/>
          <w:highlight w:val="none"/>
        </w:rPr>
        <w:t>三、支出决算表</w:t>
      </w:r>
      <w:bookmarkEnd w:id="77"/>
      <w:bookmarkEnd w:id="78"/>
    </w:p>
    <w:p w14:paraId="574F679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79" w:name="_Toc2103"/>
      <w:bookmarkStart w:id="80" w:name="_Toc15396622"/>
      <w:r>
        <w:rPr>
          <w:rFonts w:hint="eastAsia" w:ascii="Times New Roman" w:hAnsi="Times New Roman" w:eastAsia="仿宋_GB2312" w:cs="仿宋_GB2312"/>
          <w:color w:val="auto"/>
          <w:sz w:val="32"/>
          <w:szCs w:val="32"/>
          <w:highlight w:val="none"/>
        </w:rPr>
        <w:t>四、财政拨款收入支出决算总表</w:t>
      </w:r>
      <w:bookmarkEnd w:id="79"/>
      <w:bookmarkEnd w:id="80"/>
    </w:p>
    <w:p w14:paraId="196CF57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1" w:name="_Toc16207"/>
      <w:bookmarkStart w:id="82" w:name="_Toc15396623"/>
      <w:r>
        <w:rPr>
          <w:rFonts w:hint="eastAsia" w:ascii="Times New Roman" w:hAnsi="Times New Roman" w:eastAsia="仿宋_GB2312" w:cs="仿宋_GB2312"/>
          <w:color w:val="auto"/>
          <w:sz w:val="32"/>
          <w:szCs w:val="32"/>
          <w:highlight w:val="none"/>
        </w:rPr>
        <w:t>五、财政拨款支出决算明细表</w:t>
      </w:r>
      <w:bookmarkEnd w:id="81"/>
      <w:bookmarkEnd w:id="82"/>
      <w:bookmarkStart w:id="83" w:name="_Toc15396624"/>
    </w:p>
    <w:p w14:paraId="7DD194F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4" w:name="_Toc5775"/>
      <w:r>
        <w:rPr>
          <w:rFonts w:hint="eastAsia" w:ascii="Times New Roman" w:hAnsi="Times New Roman" w:eastAsia="仿宋_GB2312" w:cs="仿宋_GB2312"/>
          <w:color w:val="auto"/>
          <w:sz w:val="32"/>
          <w:szCs w:val="32"/>
          <w:highlight w:val="none"/>
        </w:rPr>
        <w:t>六、一般公共预算财政拨款支出决算表</w:t>
      </w:r>
      <w:bookmarkEnd w:id="83"/>
      <w:bookmarkEnd w:id="84"/>
    </w:p>
    <w:p w14:paraId="72EC33C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5" w:name="_Toc15396625"/>
      <w:bookmarkStart w:id="86" w:name="_Toc20518"/>
      <w:r>
        <w:rPr>
          <w:rFonts w:hint="eastAsia" w:ascii="Times New Roman" w:hAnsi="Times New Roman" w:eastAsia="仿宋_GB2312" w:cs="仿宋_GB2312"/>
          <w:color w:val="auto"/>
          <w:sz w:val="32"/>
          <w:szCs w:val="32"/>
          <w:highlight w:val="none"/>
        </w:rPr>
        <w:t>七、一般公共预算财政拨款支出决算明细表</w:t>
      </w:r>
      <w:bookmarkEnd w:id="85"/>
      <w:bookmarkEnd w:id="86"/>
    </w:p>
    <w:p w14:paraId="1DC72B1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7" w:name="_Toc1678"/>
      <w:bookmarkStart w:id="88" w:name="_Toc15396626"/>
      <w:r>
        <w:rPr>
          <w:rFonts w:hint="eastAsia" w:ascii="Times New Roman" w:hAnsi="Times New Roman" w:eastAsia="仿宋_GB2312" w:cs="仿宋_GB2312"/>
          <w:color w:val="auto"/>
          <w:sz w:val="32"/>
          <w:szCs w:val="32"/>
          <w:highlight w:val="none"/>
        </w:rPr>
        <w:t>八、一般公共预算财政拨款基本支出决算表</w:t>
      </w:r>
      <w:bookmarkEnd w:id="87"/>
      <w:bookmarkEnd w:id="88"/>
    </w:p>
    <w:p w14:paraId="69E8B66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9" w:name="_Toc5697"/>
      <w:bookmarkStart w:id="90" w:name="_Toc15396627"/>
      <w:r>
        <w:rPr>
          <w:rFonts w:hint="eastAsia" w:ascii="Times New Roman" w:hAnsi="Times New Roman" w:eastAsia="仿宋_GB2312" w:cs="仿宋_GB2312"/>
          <w:color w:val="auto"/>
          <w:sz w:val="32"/>
          <w:szCs w:val="32"/>
          <w:highlight w:val="none"/>
        </w:rPr>
        <w:t>九、一般公共预算财政拨款项目支出决算表</w:t>
      </w:r>
      <w:bookmarkEnd w:id="89"/>
      <w:bookmarkEnd w:id="90"/>
    </w:p>
    <w:p w14:paraId="2813BD8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91" w:name="_Toc15396628"/>
      <w:bookmarkStart w:id="92" w:name="_Toc30999"/>
      <w:r>
        <w:rPr>
          <w:rFonts w:hint="eastAsia" w:ascii="Times New Roman" w:hAnsi="Times New Roman" w:eastAsia="仿宋_GB2312" w:cs="仿宋_GB2312"/>
          <w:color w:val="auto"/>
          <w:sz w:val="32"/>
          <w:szCs w:val="32"/>
          <w:highlight w:val="none"/>
        </w:rPr>
        <w:t>十、</w:t>
      </w:r>
      <w:bookmarkEnd w:id="91"/>
      <w:r>
        <w:rPr>
          <w:rFonts w:hint="eastAsia" w:ascii="Times New Roman" w:hAnsi="Times New Roman" w:eastAsia="仿宋_GB2312" w:cs="仿宋_GB2312"/>
          <w:color w:val="auto"/>
          <w:sz w:val="32"/>
          <w:szCs w:val="32"/>
          <w:highlight w:val="none"/>
        </w:rPr>
        <w:t>政府性基金预算财政拨款收入支出决算表</w:t>
      </w:r>
      <w:bookmarkEnd w:id="92"/>
    </w:p>
    <w:p w14:paraId="5ABE2A9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93" w:name="_Toc15396629"/>
      <w:bookmarkStart w:id="94" w:name="_Toc23222"/>
      <w:r>
        <w:rPr>
          <w:rFonts w:hint="eastAsia" w:ascii="Times New Roman" w:hAnsi="Times New Roman" w:eastAsia="仿宋_GB2312" w:cs="仿宋_GB2312"/>
          <w:color w:val="auto"/>
          <w:sz w:val="32"/>
          <w:szCs w:val="32"/>
          <w:highlight w:val="none"/>
        </w:rPr>
        <w:t>十一、</w:t>
      </w:r>
      <w:bookmarkEnd w:id="93"/>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94"/>
    </w:p>
    <w:p w14:paraId="14BDD64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95" w:name="_Toc15396630"/>
      <w:bookmarkStart w:id="96" w:name="_Toc6052"/>
      <w:r>
        <w:rPr>
          <w:rFonts w:hint="eastAsia" w:ascii="Times New Roman" w:hAnsi="Times New Roman" w:eastAsia="仿宋_GB2312" w:cs="仿宋_GB2312"/>
          <w:color w:val="auto"/>
          <w:sz w:val="32"/>
          <w:szCs w:val="32"/>
          <w:highlight w:val="none"/>
        </w:rPr>
        <w:t>十二、</w:t>
      </w:r>
      <w:bookmarkEnd w:id="95"/>
      <w:r>
        <w:rPr>
          <w:rFonts w:hint="eastAsia" w:ascii="Times New Roman" w:hAnsi="Times New Roman" w:eastAsia="仿宋_GB2312" w:cs="仿宋_GB2312"/>
          <w:color w:val="auto"/>
          <w:sz w:val="32"/>
          <w:szCs w:val="32"/>
          <w:highlight w:val="none"/>
          <w:lang w:eastAsia="zh-CN"/>
        </w:rPr>
        <w:t>国有资本经营预算财政拨款支出决算表</w:t>
      </w:r>
      <w:bookmarkEnd w:id="96"/>
    </w:p>
    <w:p w14:paraId="6804CC5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lang w:eastAsia="zh-CN"/>
        </w:rPr>
      </w:pPr>
      <w:bookmarkStart w:id="97" w:name="_Toc15396631"/>
      <w:bookmarkStart w:id="98" w:name="_Toc31470"/>
      <w:r>
        <w:rPr>
          <w:rFonts w:hint="eastAsia" w:ascii="Times New Roman" w:hAnsi="Times New Roman" w:eastAsia="仿宋_GB2312" w:cs="仿宋_GB2312"/>
          <w:color w:val="auto"/>
          <w:sz w:val="32"/>
          <w:szCs w:val="32"/>
          <w:highlight w:val="none"/>
        </w:rPr>
        <w:t>十三、</w:t>
      </w:r>
      <w:bookmarkEnd w:id="97"/>
      <w:r>
        <w:rPr>
          <w:rFonts w:hint="eastAsia" w:ascii="Times New Roman" w:hAnsi="Times New Roman" w:eastAsia="仿宋_GB2312" w:cs="仿宋_GB2312"/>
          <w:color w:val="auto"/>
          <w:sz w:val="32"/>
          <w:szCs w:val="32"/>
          <w:highlight w:val="none"/>
          <w:lang w:eastAsia="zh-CN"/>
        </w:rPr>
        <w:t>财政拨款“三公”经费支出决算表</w:t>
      </w:r>
      <w:bookmarkEnd w:id="98"/>
    </w:p>
    <w:p w14:paraId="041C6314">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992"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657F15-0579-4E53-A0F4-254CFA80EB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FBF399E-ED54-4B13-865D-24A2B02CAEE2}"/>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1521700E-CE10-4C88-A636-45FC871BD27C}"/>
  </w:font>
  <w:font w:name="仿宋">
    <w:panose1 w:val="02010609060101010101"/>
    <w:charset w:val="86"/>
    <w:family w:val="modern"/>
    <w:pitch w:val="default"/>
    <w:sig w:usb0="800002BF" w:usb1="38CF7CFA" w:usb2="00000016" w:usb3="00000000" w:csb0="00040001" w:csb1="00000000"/>
    <w:embedRegular r:id="rId4" w:fontKey="{6CB2FFF7-B2F3-4FCA-B456-8584954DCDC7}"/>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script"/>
    <w:pitch w:val="default"/>
    <w:sig w:usb0="00000001" w:usb1="080E0000" w:usb2="00000000" w:usb3="00000000" w:csb0="00040000" w:csb1="00000000"/>
    <w:embedRegular r:id="rId5" w:fontKey="{E9569C61-A2F3-4608-8976-F866665B7EDE}"/>
  </w:font>
  <w:font w:name="方正小标宋_GBK">
    <w:panose1 w:val="02000000000000000000"/>
    <w:charset w:val="86"/>
    <w:family w:val="auto"/>
    <w:pitch w:val="default"/>
    <w:sig w:usb0="A00002BF" w:usb1="38CF7CFA" w:usb2="00082016" w:usb3="00000000" w:csb0="00040001" w:csb1="00000000"/>
    <w:embedRegular r:id="rId6" w:fontKey="{FDCF58A4-A52D-4BF5-BF45-C973D358274F}"/>
  </w:font>
  <w:font w:name="方正仿宋_GBK">
    <w:panose1 w:val="02000000000000000000"/>
    <w:charset w:val="86"/>
    <w:family w:val="script"/>
    <w:pitch w:val="default"/>
    <w:sig w:usb0="A00002BF" w:usb1="38CF7CFA" w:usb2="00082016" w:usb3="00000000" w:csb0="00040001" w:csb1="00000000"/>
    <w:embedRegular r:id="rId7" w:fontKey="{366A01B3-0B75-480D-A162-47F9366A4500}"/>
  </w:font>
  <w:font w:name="微软雅黑">
    <w:panose1 w:val="020B0503020204020204"/>
    <w:charset w:val="86"/>
    <w:family w:val="swiss"/>
    <w:pitch w:val="variable"/>
    <w:sig w:usb0="80000287" w:usb1="2ACF3C50" w:usb2="00000016" w:usb3="00000000" w:csb0="0004001F" w:csb1="00000000"/>
  </w:font>
  <w:font w:name="方正楷体_GBK">
    <w:panose1 w:val="02000000000000000000"/>
    <w:charset w:val="86"/>
    <w:family w:val="auto"/>
    <w:pitch w:val="default"/>
    <w:sig w:usb0="800002BF" w:usb1="38CF7CFA" w:usb2="00000016" w:usb3="00000000" w:csb0="00040000" w:csb1="00000000"/>
    <w:embedRegular r:id="rId8" w:fontKey="{8B87B8BD-701D-40D6-BD6A-06FEEBF79CB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8CA9">
    <w:pPr>
      <w:pStyle w:val="11"/>
      <w:jc w:val="center"/>
    </w:pPr>
  </w:p>
  <w:p w14:paraId="5428239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D0ED">
    <w:pPr>
      <w:pStyle w:val="11"/>
      <w:jc w:val="center"/>
    </w:pPr>
  </w:p>
  <w:p w14:paraId="431728B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D585">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6943C">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DB38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2DDB38A">
                    <w:pPr>
                      <w:pStyle w:val="11"/>
                    </w:pPr>
                    <w:r>
                      <w:fldChar w:fldCharType="begin"/>
                    </w:r>
                    <w:r>
                      <w:instrText xml:space="preserve"> PAGE  \* MERGEFORMAT </w:instrText>
                    </w:r>
                    <w:r>
                      <w:fldChar w:fldCharType="separate"/>
                    </w:r>
                    <w:r>
                      <w:t>2</w:t>
                    </w:r>
                    <w:r>
                      <w:fldChar w:fldCharType="end"/>
                    </w:r>
                  </w:p>
                </w:txbxContent>
              </v:textbox>
            </v:shape>
          </w:pict>
        </mc:Fallback>
      </mc:AlternateContent>
    </w:r>
  </w:p>
  <w:p w14:paraId="27C73C95">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8105">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2559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E2559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7EB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31F7AFF9"/>
    <w:multiLevelType w:val="singleLevel"/>
    <w:tmpl w:val="31F7AFF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5514D2"/>
    <w:rsid w:val="09867E8F"/>
    <w:rsid w:val="0A2032A3"/>
    <w:rsid w:val="0CA8290A"/>
    <w:rsid w:val="0D35B1ED"/>
    <w:rsid w:val="0E254B6B"/>
    <w:rsid w:val="0F98263C"/>
    <w:rsid w:val="101860EC"/>
    <w:rsid w:val="101F47CC"/>
    <w:rsid w:val="10C055FF"/>
    <w:rsid w:val="11694EBD"/>
    <w:rsid w:val="11772AA4"/>
    <w:rsid w:val="118107EC"/>
    <w:rsid w:val="12E24EE2"/>
    <w:rsid w:val="13D50BC4"/>
    <w:rsid w:val="1495423D"/>
    <w:rsid w:val="14B17F78"/>
    <w:rsid w:val="157C1CAE"/>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3D27B9B"/>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3BC629C"/>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B37B79"/>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01B7AD5"/>
    <w:rsid w:val="62BF3928"/>
    <w:rsid w:val="63B3701E"/>
    <w:rsid w:val="647F5392"/>
    <w:rsid w:val="65E66580"/>
    <w:rsid w:val="664B1D71"/>
    <w:rsid w:val="664B4E8E"/>
    <w:rsid w:val="67277B67"/>
    <w:rsid w:val="67AA3209"/>
    <w:rsid w:val="698D0931"/>
    <w:rsid w:val="6A7FE5F3"/>
    <w:rsid w:val="6B053271"/>
    <w:rsid w:val="6BDD78B3"/>
    <w:rsid w:val="6C4A05C8"/>
    <w:rsid w:val="6C8742B8"/>
    <w:rsid w:val="6CC224A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762FB2"/>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标题 2 字符"/>
    <w:basedOn w:val="17"/>
    <w:link w:val="4"/>
    <w:qFormat/>
    <w:uiPriority w:val="9"/>
    <w:rPr>
      <w:rFonts w:asciiTheme="majorHAnsi" w:hAnsiTheme="majorHAnsi" w:eastAsiaTheme="majorEastAsia" w:cstheme="majorBidi"/>
      <w:b/>
      <w:bCs/>
      <w:kern w:val="2"/>
      <w:sz w:val="32"/>
      <w:szCs w:val="32"/>
    </w:rPr>
  </w:style>
  <w:style w:type="character" w:customStyle="1" w:styleId="36">
    <w:name w:val="标题 1 字符"/>
    <w:basedOn w:val="17"/>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c:v>
                </c:pt>
                <c:pt idx="2">
                  <c:v>2024年</c:v>
                </c:pt>
              </c:strCache>
            </c:strRef>
          </c:cat>
          <c:val>
            <c:numRef>
              <c:f>Sheet1!$B$2:$B$5</c:f>
              <c:numCache>
                <c:formatCode>General</c:formatCode>
                <c:ptCount val="4"/>
                <c:pt idx="1">
                  <c:v>476.42</c:v>
                </c:pt>
              </c:numCache>
            </c:numRef>
          </c:val>
        </c:ser>
        <c:ser>
          <c:idx val="1"/>
          <c:order val="1"/>
          <c:tx>
            <c:strRef>
              <c:f>Sheet1!$C$1</c:f>
              <c:strCache>
                <c:ptCount val="1"/>
                <c:pt idx="0">
                  <c:v>2024年</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c:v>
                </c:pt>
                <c:pt idx="2">
                  <c:v>2024年</c:v>
                </c:pt>
              </c:strCache>
            </c:strRef>
          </c:cat>
          <c:val>
            <c:numRef>
              <c:f>Sheet1!$C$2:$C$5</c:f>
              <c:numCache>
                <c:formatCode>General</c:formatCode>
                <c:ptCount val="4"/>
                <c:pt idx="2">
                  <c:v>434.83</c:v>
                </c:pt>
              </c:numCache>
            </c:numRef>
          </c:val>
        </c:ser>
        <c:ser>
          <c:idx val="2"/>
          <c:order val="2"/>
          <c:tx>
            <c:strRef>
              <c:f>Sheet1!$D$1</c:f>
              <c:strCache>
                <c:ptCount val="1"/>
                <c:pt idx="0">
                  <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delete val="1"/>
          </c:dLbls>
          <c:cat>
            <c:strRef>
              <c:f>Sheet1!$A$2:$A$5</c:f>
              <c:strCache>
                <c:ptCount val="4"/>
                <c:pt idx="1">
                  <c:v>2023年</c:v>
                </c:pt>
                <c:pt idx="2">
                  <c:v>2024年</c:v>
                </c:pt>
              </c:strCache>
            </c:strRef>
          </c:cat>
          <c:val>
            <c:numRef>
              <c:f>Sheet1!$D$2:$D$5</c:f>
              <c:numCache>
                <c:formatCode>General</c:formatCode>
                <c:ptCount val="4"/>
              </c:numCache>
            </c:numRef>
          </c:val>
        </c:ser>
        <c:dLbls>
          <c:showLegendKey val="0"/>
          <c:showVal val="0"/>
          <c:showCatName val="0"/>
          <c:showSerName val="0"/>
          <c:showPercent val="0"/>
          <c:showBubbleSize val="0"/>
        </c:dLbls>
        <c:gapWidth val="500"/>
        <c:overlap val="-100"/>
        <c:axId val="848856115"/>
        <c:axId val="862480123"/>
      </c:barChart>
      <c:catAx>
        <c:axId val="848856115"/>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862480123"/>
        <c:crosses val="autoZero"/>
        <c:auto val="1"/>
        <c:lblAlgn val="ctr"/>
        <c:lblOffset val="100"/>
        <c:noMultiLvlLbl val="0"/>
      </c:catAx>
      <c:valAx>
        <c:axId val="862480123"/>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848856115"/>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d965a34-b4d4-4372-9dd1-550f5e6754de}"/>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一般公共预算财政拨款收入</c:v>
                </c:pt>
              </c:strCache>
            </c:strRef>
          </c:tx>
          <c:spPr>
            <a:solidFill>
              <a:schemeClr val="accent1"/>
            </a:solidFill>
            <a:ln w="12700">
              <a:solidFill>
                <a:schemeClr val="accent1"/>
              </a:solidFill>
            </a:ln>
            <a:effectLst>
              <a:outerShdw blurRad="50800" dist="38100" dir="2700000" algn="tl" rotWithShape="0">
                <a:schemeClr val="accent2">
                  <a:lumMod val="50000"/>
                  <a:alpha val="40000"/>
                </a:schemeClr>
              </a:outerShdw>
            </a:effectLst>
            <a:sp3d contourW="12700"/>
          </c:spPr>
          <c:explosion val="0"/>
          <c:dPt>
            <c:idx val="0"/>
            <c:bubble3D val="0"/>
            <c:spPr>
              <a:gradFill>
                <a:gsLst>
                  <a:gs pos="100000">
                    <a:schemeClr val="accent1"/>
                  </a:gs>
                  <a:gs pos="0">
                    <a:schemeClr val="accent1">
                      <a:lumMod val="40000"/>
                      <a:lumOff val="60000"/>
                    </a:schemeClr>
                  </a:gs>
                </a:gsLst>
                <a:lin ang="2700000"/>
              </a:gradFill>
              <a:ln w="12700">
                <a:solidFill>
                  <a:schemeClr val="accent1"/>
                </a:solidFill>
              </a:ln>
              <a:effectLst>
                <a:outerShdw blurRad="50800" dist="38100" dir="2700000" algn="tl" rotWithShape="0">
                  <a:schemeClr val="accent1">
                    <a:lumMod val="50000"/>
                    <a:alpha val="40000"/>
                  </a:schemeClr>
                </a:outerShdw>
              </a:effectLst>
              <a:sp3d contourW="12700"/>
            </c:spPr>
          </c:dPt>
          <c:dPt>
            <c:idx val="1"/>
            <c:bubble3D val="0"/>
            <c:spPr>
              <a:gradFill>
                <a:gsLst>
                  <a:gs pos="100000">
                    <a:schemeClr val="accent2"/>
                  </a:gs>
                  <a:gs pos="0">
                    <a:schemeClr val="accent2">
                      <a:lumMod val="40000"/>
                      <a:lumOff val="60000"/>
                    </a:schemeClr>
                  </a:gs>
                </a:gsLst>
                <a:lin ang="2700000" scaled="0"/>
              </a:gradFill>
              <a:ln w="12700">
                <a:solidFill>
                  <a:schemeClr val="accent2"/>
                </a:solidFill>
              </a:ln>
              <a:effectLst>
                <a:outerShdw blurRad="50800" dist="38100" dir="2700000" algn="tl" rotWithShape="0">
                  <a:schemeClr val="accent2">
                    <a:lumMod val="50000"/>
                    <a:alpha val="40000"/>
                  </a:schemeClr>
                </a:outerShdw>
              </a:effectLst>
              <a:sp3d contourW="12700"/>
            </c:spPr>
          </c:dPt>
          <c:dPt>
            <c:idx val="2"/>
            <c:bubble3D val="0"/>
            <c:spPr>
              <a:gradFill>
                <a:gsLst>
                  <a:gs pos="100000">
                    <a:schemeClr val="accent3"/>
                  </a:gs>
                  <a:gs pos="0">
                    <a:schemeClr val="accent3">
                      <a:lumMod val="40000"/>
                      <a:lumOff val="60000"/>
                    </a:schemeClr>
                  </a:gs>
                </a:gsLst>
                <a:lin ang="2700000" scaled="0"/>
              </a:gradFill>
              <a:ln w="12700">
                <a:solidFill>
                  <a:schemeClr val="accent3"/>
                </a:solidFill>
              </a:ln>
              <a:effectLst>
                <a:outerShdw blurRad="50800" dist="38100" dir="2700000" algn="tl" rotWithShape="0">
                  <a:schemeClr val="accent3">
                    <a:lumMod val="50000"/>
                    <a:alpha val="40000"/>
                  </a:schemeClr>
                </a:outerShdw>
              </a:effectLst>
              <a:sp3d contourW="12700"/>
            </c:spPr>
          </c:dPt>
          <c:dPt>
            <c:idx val="3"/>
            <c:bubble3D val="0"/>
            <c:spPr>
              <a:gradFill>
                <a:gsLst>
                  <a:gs pos="100000">
                    <a:schemeClr val="accent4"/>
                  </a:gs>
                  <a:gs pos="0">
                    <a:schemeClr val="accent4">
                      <a:lumMod val="40000"/>
                      <a:lumOff val="60000"/>
                    </a:schemeClr>
                  </a:gs>
                </a:gsLst>
                <a:lin ang="2700000" scaled="0"/>
              </a:gradFill>
              <a:ln w="12700">
                <a:solidFill>
                  <a:schemeClr val="accent4"/>
                </a:solidFill>
              </a:ln>
              <a:effectLst>
                <a:outerShdw blurRad="50800" dist="38100" dir="2700000" algn="tl" rotWithShape="0">
                  <a:schemeClr val="accent4">
                    <a:lumMod val="50000"/>
                    <a:alpha val="40000"/>
                  </a:schemeClr>
                </a:outerShdw>
              </a:effectLst>
              <a:sp3d contourW="12700"/>
            </c:spPr>
          </c:dPt>
          <c:dLbls>
            <c:dLbl>
              <c:idx val="0"/>
              <c:layout/>
              <c:numFmt formatCode="General" sourceLinked="1"/>
              <c:spPr>
                <a:solidFill>
                  <a:srgbClr val="FFFFFF"/>
                </a:solidFill>
                <a:ln>
                  <a:solidFill>
                    <a:schemeClr val="accent1"/>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solidFill>
                  <a:srgbClr val="FFFFFF"/>
                </a:solidFill>
                <a:ln>
                  <a:solidFill>
                    <a:schemeClr val="accent2"/>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2"/>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solidFill>
                  <a:srgbClr val="FFFFFF"/>
                </a:solidFill>
                <a:ln>
                  <a:solidFill>
                    <a:schemeClr val="accent3"/>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3"/>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solidFill>
                  <a:srgbClr val="FFFFFF"/>
                </a:solidFill>
                <a:ln>
                  <a:solidFill>
                    <a:schemeClr val="accent4"/>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4"/>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solidFill>
                <a:srgbClr val="FFFFFF"/>
              </a:solidFill>
              <a:ln>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900" b="1" i="0" u="none" strike="noStrike" kern="1200" baseline="0">
                    <a:solidFill>
                      <a:schemeClr val="dk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spPr xmlns:c15="http://schemas.microsoft.com/office/drawing/2012/chart">
                  <a:prstGeom prst="wedge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434.83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cfd5599-3a24-4a74-9398-5c7b40836cd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238924256204"/>
          <c:y val="0.188764528626776"/>
          <c:w val="0.390411848772249"/>
          <c:h val="0.646792940163582"/>
        </c:manualLayout>
      </c:layout>
      <c:pieChart>
        <c:varyColors val="1"/>
        <c:ser>
          <c:idx val="0"/>
          <c:order val="0"/>
          <c:tx>
            <c:strRef>
              <c:f>Sheet1!$B$1</c:f>
              <c:strCache>
                <c:ptCount val="1"/>
                <c:pt idx="0">
                  <c:v>列1</c:v>
                </c:pt>
              </c:strCache>
            </c:strRef>
          </c:tx>
          <c:spPr>
            <a:gradFill rotWithShape="1">
              <a:gsLst>
                <a:gs pos="0">
                  <a:srgbClr val="F7C443"/>
                </a:gs>
                <a:gs pos="100000">
                  <a:srgbClr val="F7C342">
                    <a:alpha val="60000"/>
                  </a:srgbClr>
                </a:gs>
              </a:gsLst>
              <a:lin ang="13500000" scaled="0"/>
            </a:gradFill>
            <a:effectLst/>
          </c:spPr>
          <c:explosion val="0"/>
          <c:dPt>
            <c:idx val="0"/>
            <c:bubble3D val="0"/>
            <c:spPr>
              <a:gradFill rotWithShape="1">
                <a:gsLst>
                  <a:gs pos="0">
                    <a:schemeClr val="accent1"/>
                  </a:gs>
                  <a:gs pos="100000">
                    <a:schemeClr val="accent1">
                      <a:alpha val="60000"/>
                    </a:schemeClr>
                  </a:gs>
                </a:gsLst>
                <a:lin ang="13500000" scaled="0"/>
              </a:gradFill>
              <a:ln>
                <a:noFill/>
              </a:ln>
              <a:effectLst/>
            </c:spPr>
          </c:dPt>
          <c:dPt>
            <c:idx val="1"/>
            <c:bubble3D val="0"/>
            <c:spPr>
              <a:gradFill rotWithShape="1">
                <a:gsLst>
                  <a:gs pos="0">
                    <a:schemeClr val="accent2"/>
                  </a:gs>
                  <a:gs pos="100000">
                    <a:schemeClr val="accent2">
                      <a:alpha val="60000"/>
                    </a:schemeClr>
                  </a:gs>
                </a:gsLst>
                <a:lin ang="13500000" scaled="0"/>
              </a:gradFill>
              <a:ln>
                <a:noFill/>
              </a:ln>
              <a:effectLst/>
            </c:spPr>
          </c:dPt>
          <c:dPt>
            <c:idx val="2"/>
            <c:bubble3D val="0"/>
            <c:spPr>
              <a:gradFill rotWithShape="1">
                <a:gsLst>
                  <a:gs pos="0">
                    <a:schemeClr val="accent3"/>
                  </a:gs>
                  <a:gs pos="100000">
                    <a:schemeClr val="accent3">
                      <a:alpha val="60000"/>
                    </a:schemeClr>
                  </a:gs>
                </a:gsLst>
                <a:lin ang="13500000" scaled="0"/>
              </a:gradFill>
              <a:ln>
                <a:noFill/>
              </a:ln>
              <a:effectLst/>
            </c:spPr>
          </c:dPt>
          <c:dPt>
            <c:idx val="3"/>
            <c:bubble3D val="0"/>
            <c:spPr>
              <a:gradFill rotWithShape="1">
                <a:gsLst>
                  <a:gs pos="0">
                    <a:schemeClr val="accent4"/>
                  </a:gs>
                  <a:gs pos="100000">
                    <a:schemeClr val="accent4">
                      <a:alpha val="60000"/>
                    </a:schemeClr>
                  </a:gs>
                </a:gsLst>
                <a:lin ang="135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67.15</a:t>
                    </a:r>
                    <a:r>
                      <a:t>%</a:t>
                    </a: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ctr"/>
              <c:showLegendKey val="0"/>
              <c:showVal val="0"/>
              <c:showCatName val="0"/>
              <c:showSerName val="0"/>
              <c:showPercent val="1"/>
              <c:showBubbleSize val="0"/>
              <c:extLst>
                <c:ext xmlns:c15="http://schemas.microsoft.com/office/drawing/2012/chart" uri="{CE6537A1-D6FC-4f65-9D91-7224C49458BB}"/>
              </c:extLst>
            </c:dLbl>
            <c:dLbl>
              <c:idx val="3"/>
              <c:layout>
                <c:manualLayout>
                  <c:x val="0.164506796852784"/>
                  <c:y val="0.0584409548038619"/>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32.84</a:t>
                    </a:r>
                    <a:r>
                      <a:t>%</a:t>
                    </a:r>
                  </a:p>
                </c:rich>
              </c:tx>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第二季度</c:v>
                </c:pt>
                <c:pt idx="2">
                  <c:v>第三季度</c:v>
                </c:pt>
                <c:pt idx="3">
                  <c:v>项目支出</c:v>
                </c:pt>
              </c:strCache>
            </c:strRef>
          </c:cat>
          <c:val>
            <c:numRef>
              <c:f>Sheet1!$B$2:$B$5</c:f>
              <c:numCache>
                <c:formatCode>General</c:formatCode>
                <c:ptCount val="4"/>
                <c:pt idx="0">
                  <c:v>292.01</c:v>
                </c:pt>
                <c:pt idx="3">
                  <c:v>142.82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face6dd3-ec19-4c55-b56f-45c3173cbdbd}"/>
      </c:ext>
    </c:extLst>
  </c:chart>
  <c:spPr>
    <a:solidFill>
      <a:sysClr val="window" lastClr="FFFFFF"/>
    </a:solidFill>
    <a:ln w="9525" cap="flat" cmpd="sng" algn="ctr">
      <a:solidFill>
        <a:schemeClr val="bg2"/>
      </a:solidFill>
      <a:prstDash val="solid"/>
      <a:round/>
    </a:ln>
    <a:effectLst>
      <a:outerShdw blurRad="63500" dist="37357" dir="2700000" sx="0" sy="0" rotWithShape="0">
        <a:scrgbClr r="0" g="0" b="0"/>
      </a:outerShdw>
      <a:softEdge rad="12700"/>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2023年收支总计</c:v>
                </c:pt>
                <c:pt idx="3">
                  <c:v>2024年收支总计</c:v>
                </c:pt>
              </c:strCache>
            </c:strRef>
          </c:cat>
          <c:val>
            <c:numRef>
              <c:f>Sheet1!$B$2:$B$5</c:f>
              <c:numCache>
                <c:formatCode>General</c:formatCode>
                <c:ptCount val="4"/>
              </c:numCache>
            </c:numRef>
          </c:val>
        </c:ser>
        <c:ser>
          <c:idx val="1"/>
          <c:order val="1"/>
          <c:tx>
            <c:strRef>
              <c:f>Sheet1!$C$1</c:f>
              <c:strCache>
                <c:ptCount val="1"/>
                <c:pt idx="0">
                  <c:v>2023年</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2023年收支总计</c:v>
                </c:pt>
                <c:pt idx="3">
                  <c:v>2024年收支总计</c:v>
                </c:pt>
              </c:strCache>
            </c:strRef>
          </c:cat>
          <c:val>
            <c:numRef>
              <c:f>Sheet1!$C$2:$C$5</c:f>
              <c:numCache>
                <c:formatCode>General</c:formatCode>
                <c:ptCount val="4"/>
                <c:pt idx="1">
                  <c:v>476.42</c:v>
                </c:pt>
              </c:numCache>
            </c:numRef>
          </c:val>
        </c:ser>
        <c:ser>
          <c:idx val="2"/>
          <c:order val="2"/>
          <c:tx>
            <c:strRef>
              <c:f>Sheet1!$D$1</c:f>
              <c:strCache>
                <c:ptCount val="1"/>
                <c:pt idx="0">
                  <c:v>2024年</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2023年收支总计</c:v>
                </c:pt>
                <c:pt idx="3">
                  <c:v>2024年收支总计</c:v>
                </c:pt>
              </c:strCache>
            </c:strRef>
          </c:cat>
          <c:val>
            <c:numRef>
              <c:f>Sheet1!$D$2:$D$5</c:f>
              <c:numCache>
                <c:formatCode>General</c:formatCode>
                <c:ptCount val="4"/>
                <c:pt idx="3">
                  <c:v>434.83</c:v>
                </c:pt>
              </c:numCache>
            </c:numRef>
          </c:val>
        </c:ser>
        <c:dLbls>
          <c:showLegendKey val="0"/>
          <c:showVal val="0"/>
          <c:showCatName val="0"/>
          <c:showSerName val="0"/>
          <c:showPercent val="0"/>
          <c:showBubbleSize val="0"/>
        </c:dLbls>
        <c:gapWidth val="500"/>
        <c:overlap val="-100"/>
        <c:axId val="799487717"/>
        <c:axId val="548121548"/>
      </c:barChart>
      <c:catAx>
        <c:axId val="799487717"/>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48121548"/>
        <c:crosses val="autoZero"/>
        <c:auto val="1"/>
        <c:lblAlgn val="ctr"/>
        <c:lblOffset val="100"/>
        <c:noMultiLvlLbl val="0"/>
      </c:catAx>
      <c:valAx>
        <c:axId val="54812154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99487717"/>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3c262b5-bc5d-4240-aebf-3ec91b5ffe8b}"/>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5747679614988"/>
          <c:y val="0.176354956472901"/>
          <c:w val="0.869611550360949"/>
          <c:h val="0.685874754282505"/>
        </c:manualLayout>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2023年一般公共预算财政拨款支出</c:v>
                </c:pt>
                <c:pt idx="3">
                  <c:v>2024年一般公共预算财政拨款支出</c:v>
                </c:pt>
              </c:strCache>
            </c:strRef>
          </c:cat>
          <c:val>
            <c:numRef>
              <c:f>Sheet1!$B$2:$B$5</c:f>
              <c:numCache>
                <c:formatCode>General</c:formatCode>
                <c:ptCount val="4"/>
              </c:numCache>
            </c:numRef>
          </c:val>
        </c:ser>
        <c:ser>
          <c:idx val="1"/>
          <c:order val="1"/>
          <c:tx>
            <c:strRef>
              <c:f>Sheet1!$C$1</c:f>
              <c:strCache>
                <c:ptCount val="1"/>
                <c:pt idx="0">
                  <c:v>2023年</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2023年一般公共预算财政拨款支出</c:v>
                </c:pt>
                <c:pt idx="3">
                  <c:v>2024年一般公共预算财政拨款支出</c:v>
                </c:pt>
              </c:strCache>
            </c:strRef>
          </c:cat>
          <c:val>
            <c:numRef>
              <c:f>Sheet1!$C$2:$C$5</c:f>
              <c:numCache>
                <c:formatCode>General</c:formatCode>
                <c:ptCount val="4"/>
                <c:pt idx="1">
                  <c:v>476.42</c:v>
                </c:pt>
              </c:numCache>
            </c:numRef>
          </c:val>
        </c:ser>
        <c:ser>
          <c:idx val="2"/>
          <c:order val="2"/>
          <c:tx>
            <c:strRef>
              <c:f>Sheet1!$D$1</c:f>
              <c:strCache>
                <c:ptCount val="1"/>
                <c:pt idx="0">
                  <c:v>2024年</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2023年一般公共预算财政拨款支出</c:v>
                </c:pt>
                <c:pt idx="3">
                  <c:v>2024年一般公共预算财政拨款支出</c:v>
                </c:pt>
              </c:strCache>
            </c:strRef>
          </c:cat>
          <c:val>
            <c:numRef>
              <c:f>Sheet1!$D$2:$D$5</c:f>
              <c:numCache>
                <c:formatCode>General</c:formatCode>
                <c:ptCount val="4"/>
                <c:pt idx="3">
                  <c:v>434.83</c:v>
                </c:pt>
              </c:numCache>
            </c:numRef>
          </c:val>
        </c:ser>
        <c:dLbls>
          <c:showLegendKey val="0"/>
          <c:showVal val="0"/>
          <c:showCatName val="0"/>
          <c:showSerName val="0"/>
          <c:showPercent val="0"/>
          <c:showBubbleSize val="0"/>
        </c:dLbls>
        <c:gapWidth val="500"/>
        <c:overlap val="-100"/>
        <c:axId val="799487717"/>
        <c:axId val="548121548"/>
      </c:barChart>
      <c:catAx>
        <c:axId val="799487717"/>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548121548"/>
        <c:crosses val="autoZero"/>
        <c:auto val="1"/>
        <c:lblAlgn val="ctr"/>
        <c:lblOffset val="100"/>
        <c:noMultiLvlLbl val="0"/>
      </c:catAx>
      <c:valAx>
        <c:axId val="54812154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99487717"/>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bd22f4a-d7be-47cb-af63-a52b379381fa}"/>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一般公共服务支出</c:v>
                </c:pt>
              </c:strCache>
            </c:strRef>
          </c:tx>
          <c:spPr/>
          <c:explosion val="0"/>
          <c:dPt>
            <c:idx val="0"/>
            <c:bubble3D val="0"/>
            <c:spPr>
              <a:gradFill>
                <a:gsLst>
                  <a:gs pos="70000">
                    <a:schemeClr val="accent1"/>
                  </a:gs>
                  <a:gs pos="0">
                    <a:schemeClr val="accent1">
                      <a:lumMod val="60000"/>
                      <a:lumOff val="40000"/>
                    </a:schemeClr>
                  </a:gs>
                </a:gsLst>
                <a:lin ang="5400000"/>
              </a:gradFill>
              <a:ln w="19050">
                <a:solidFill>
                  <a:schemeClr val="lt1"/>
                </a:solidFill>
              </a:ln>
              <a:effectLst>
                <a:outerShdw blurRad="63500" sx="102000" sy="102000" algn="ctr" rotWithShape="0">
                  <a:prstClr val="black">
                    <a:alpha val="25000"/>
                  </a:prstClr>
                </a:outerShdw>
              </a:effectLst>
            </c:spPr>
          </c:dPt>
          <c:dPt>
            <c:idx val="1"/>
            <c:bubble3D val="0"/>
            <c:spPr>
              <a:gradFill>
                <a:gsLst>
                  <a:gs pos="70000">
                    <a:schemeClr val="accent2"/>
                  </a:gs>
                  <a:gs pos="0">
                    <a:schemeClr val="accent2">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2"/>
            <c:bubble3D val="0"/>
            <c:spPr>
              <a:gradFill>
                <a:gsLst>
                  <a:gs pos="70000">
                    <a:schemeClr val="accent3"/>
                  </a:gs>
                  <a:gs pos="0">
                    <a:schemeClr val="accent3">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3"/>
            <c:bubble3D val="0"/>
            <c:spPr>
              <a:gradFill>
                <a:gsLst>
                  <a:gs pos="70000">
                    <a:schemeClr val="accent4"/>
                  </a:gs>
                  <a:gs pos="0">
                    <a:schemeClr val="accent4">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Lbls>
            <c:dLbl>
              <c:idx val="0"/>
              <c:layout/>
              <c:dLblPos val="outEnd"/>
              <c:showLegendKey val="0"/>
              <c:showVal val="0"/>
              <c:showCatName val="0"/>
              <c:showSerName val="0"/>
              <c:showPercent val="1"/>
              <c:showBubbleSize val="0"/>
              <c:extLst>
                <c:ext xmlns:c15="http://schemas.microsoft.com/office/drawing/2012/chart" uri="{CE6537A1-D6FC-4f65-9D91-7224C49458BB}">
                  <c15:layout>
                    <c:manualLayout>
                      <c:w val="0.142159427873714"/>
                      <c:h val="0.0955717488789238"/>
                    </c:manualLayout>
                  </c15:layout>
                </c:ext>
              </c:extLst>
            </c:dLbl>
            <c:dLbl>
              <c:idx val="1"/>
              <c:layout>
                <c:manualLayout>
                  <c:x val="-0.126635269492412"/>
                  <c:y val="0.070067264573991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41810570381999"/>
                  <c:y val="0.0280269058295964"/>
                </c:manualLayout>
              </c:layout>
              <c:tx>
                <c:rich>
                  <a:bodyPr rot="0" spcFirstLastPara="0" vertOverflow="ellipsis" vert="horz" wrap="square" lIns="38100" tIns="19050" rIns="38100" bIns="19050" anchor="ctr" anchorCtr="1"/>
                  <a:lstStyle/>
                  <a:p>
                    <a:pPr defTabSz="914400">
                      <a:defRPr lang="zh-CN" sz="1100" b="0" i="0" u="none" strike="noStrike" kern="1200" baseline="0">
                        <a:solidFill>
                          <a:schemeClr val="bg1"/>
                        </a:solidFill>
                        <a:latin typeface="+mn-lt"/>
                        <a:ea typeface="+mn-ea"/>
                        <a:cs typeface="+mn-cs"/>
                      </a:defRPr>
                    </a:pPr>
                    <a:r>
                      <a:rPr lang="en-US" altLang="zh-CN"/>
                      <a:t>4.34</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02564102564103"/>
                  <c:y val="0.0368642095106451"/>
                </c:manualLayout>
              </c:layout>
              <c:tx>
                <c:rich>
                  <a:bodyPr rot="0" spcFirstLastPara="0" vertOverflow="ellipsis" vert="horz" wrap="square" lIns="38100" tIns="19050" rIns="38100" bIns="19050" anchor="ctr" anchorCtr="1"/>
                  <a:lstStyle/>
                  <a:p>
                    <a:pPr defTabSz="914400">
                      <a:defRPr lang="zh-CN" sz="1100" b="0" i="0" u="none" strike="noStrike" kern="1200" baseline="0">
                        <a:solidFill>
                          <a:schemeClr val="bg1"/>
                        </a:solidFill>
                        <a:latin typeface="+mn-lt"/>
                        <a:ea typeface="+mn-ea"/>
                        <a:cs typeface="+mn-cs"/>
                      </a:defRPr>
                    </a:pPr>
                    <a:r>
                      <a:rPr lang="en-US" altLang="zh-CN"/>
                      <a:t>5.22</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64660736089308"/>
                      <c:h val="0.0913677130044843"/>
                    </c:manualLayout>
                  </c15:layout>
                </c:ext>
              </c:extLst>
            </c:dLbl>
            <c:numFmt formatCode="0.00%" sourceLinked="0"/>
            <c:spPr>
              <a:solidFill>
                <a:schemeClr val="accent1">
                  <a:lumMod val="40000"/>
                  <a:lumOff val="60000"/>
                </a:schemeClr>
              </a:solidFill>
              <a:ln w="12700" cmpd="sng">
                <a:noFill/>
                <a:prstDash val="solid"/>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361.44</c:v>
                </c:pt>
                <c:pt idx="1">
                  <c:v>31.82</c:v>
                </c:pt>
                <c:pt idx="2">
                  <c:v>18.89</c:v>
                </c:pt>
                <c:pt idx="3">
                  <c:v>22.68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f089ab9-2da0-467a-8da3-d0169bd4eb7c}"/>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1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因公出国（境）费支出</c:v>
                </c:pt>
              </c:strCache>
            </c:strRef>
          </c:tx>
          <c:spPr>
            <a:ln w="15875">
              <a:solidFill>
                <a:schemeClr val="bg1"/>
              </a:solidFill>
            </a:ln>
            <a:effectLst>
              <a:outerShdw blurRad="63500" sx="102000" sy="102000" algn="ctr" rotWithShape="0">
                <a:schemeClr val="tx1">
                  <a:lumMod val="50000"/>
                  <a:lumOff val="50000"/>
                  <a:alpha val="40000"/>
                </a:schemeClr>
              </a:outerShdw>
            </a:effectLst>
            <a:sp3d contourW="15875"/>
          </c:spPr>
          <c:explosion val="0"/>
          <c:dPt>
            <c:idx val="0"/>
            <c:bubble3D val="0"/>
            <c:spPr>
              <a:gradFill>
                <a:gsLst>
                  <a:gs pos="0">
                    <a:schemeClr val="accent1">
                      <a:lumMod val="60000"/>
                      <a:lumOff val="40000"/>
                    </a:schemeClr>
                  </a:gs>
                  <a:gs pos="80000">
                    <a:schemeClr val="accent1"/>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1"/>
            <c:bubble3D val="0"/>
            <c:spPr>
              <a:gradFill>
                <a:gsLst>
                  <a:gs pos="0">
                    <a:schemeClr val="accent2">
                      <a:lumMod val="60000"/>
                      <a:lumOff val="40000"/>
                    </a:schemeClr>
                  </a:gs>
                  <a:gs pos="80000">
                    <a:schemeClr val="accent2"/>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2"/>
            <c:bubble3D val="0"/>
            <c:spPr>
              <a:gradFill>
                <a:gsLst>
                  <a:gs pos="0">
                    <a:schemeClr val="accent3">
                      <a:lumMod val="60000"/>
                      <a:lumOff val="40000"/>
                    </a:schemeClr>
                  </a:gs>
                  <a:gs pos="80000">
                    <a:schemeClr val="accent3"/>
                  </a:gs>
                </a:gsLst>
                <a:lin ang="2700000" scaled="0"/>
              </a:gradFill>
              <a:ln w="19050">
                <a:solidFill>
                  <a:schemeClr val="bg1"/>
                </a:solidFill>
              </a:ln>
              <a:effectLst>
                <a:outerShdw blurRad="63500" sx="102000" sy="102000" algn="ctr" rotWithShape="0">
                  <a:schemeClr val="tx1">
                    <a:lumMod val="50000"/>
                    <a:lumOff val="50000"/>
                    <a:alpha val="40000"/>
                  </a:schemeClr>
                </a:outerShdw>
              </a:effectLst>
              <a:sp3d contourW="19050"/>
            </c:spPr>
          </c:dPt>
          <c:dPt>
            <c:idx val="3"/>
            <c:bubble3D val="0"/>
            <c:spPr>
              <a:pattFill prst="dkUpDiag">
                <a:fgClr>
                  <a:schemeClr val="accent4">
                    <a:lumMod val="60000"/>
                    <a:lumOff val="40000"/>
                  </a:schemeClr>
                </a:fgClr>
                <a:bgClr>
                  <a:schemeClr val="accent4"/>
                </a:bgClr>
              </a:pattFill>
              <a:ln w="15875">
                <a:solidFill>
                  <a:schemeClr val="bg1"/>
                </a:solidFill>
              </a:ln>
              <a:effectLst>
                <a:outerShdw blurRad="63500" sx="102000" sy="102000" algn="ctr" rotWithShape="0">
                  <a:schemeClr val="tx1">
                    <a:lumMod val="50000"/>
                    <a:lumOff val="50000"/>
                    <a:alpha val="40000"/>
                  </a:schemeClr>
                </a:outerShdw>
              </a:effectLst>
              <a:sp3d contourW="15875"/>
            </c:spPr>
          </c:dPt>
          <c:dLbls>
            <c:dLbl>
              <c:idx val="0"/>
              <c:layout/>
              <c:numFmt formatCode="General" sourceLinked="1"/>
              <c:spPr>
                <a:solidFill>
                  <a:schemeClr val="lt1"/>
                </a:solidFill>
                <a:ln>
                  <a:solidFill>
                    <a:schemeClr val="accent1"/>
                  </a:solidFill>
                </a:ln>
                <a:effectLst>
                  <a:outerShdw blurRad="63500" sx="102000" sy="102000" algn="ctr" rotWithShape="0">
                    <a:schemeClr val="accent1">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chemeClr val="lt1"/>
                </a:solidFill>
                <a:ln>
                  <a:solidFill>
                    <a:schemeClr val="accent2"/>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chemeClr val="lt1"/>
                </a:solidFill>
                <a:ln>
                  <a:solidFill>
                    <a:schemeClr val="accent3"/>
                  </a:solidFill>
                </a:ln>
                <a:effectLst>
                  <a:outerShdw blurRad="63500" sx="102000" sy="102000" algn="ctr" rotWithShape="0">
                    <a:schemeClr val="accent3">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3">
                          <a:lumMod val="7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chemeClr val="lt1"/>
                </a:solidFill>
                <a:ln>
                  <a:solidFill>
                    <a:schemeClr val="accent4"/>
                  </a:solidFill>
                </a:ln>
                <a:effectLst>
                  <a:outerShdw blurRad="63500" sx="102000" sy="102000" algn="ctr" rotWithShape="0">
                    <a:schemeClr val="accent4">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c2506dc0-09ec-4010-af1c-52da45048a80}"/>
      </c:ext>
    </c:extLst>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4964</Words>
  <Characters>5353</Characters>
  <Lines>61</Lines>
  <Paragraphs>17</Paragraphs>
  <TotalTime>3</TotalTime>
  <ScaleCrop>false</ScaleCrop>
  <LinksUpToDate>false</LinksUpToDate>
  <CharactersWithSpaces>5470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栈言</cp:lastModifiedBy>
  <cp:lastPrinted>2025-08-06T17:34:00Z</cp:lastPrinted>
  <dcterms:modified xsi:type="dcterms:W3CDTF">2025-09-10T00:26:33Z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eyJoZGlkIjoiNGMzNDU0NDg2N2E1NjdiOTFjZTdmNTg3ZDc2YzE2NTEiLCJ1c2VySWQiOiI0NDg5Mjc5ODEifQ==</vt:lpwstr>
  </property>
</Properties>
</file>