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7A41F">
      <w:pPr>
        <w:pStyle w:val="8"/>
        <w:rPr>
          <w:rFonts w:hint="eastAsia" w:ascii="Times New Roman" w:hAnsi="Times New Roman" w:eastAsia="方正小标宋简体" w:cs="Times New Roman"/>
          <w:color w:val="auto"/>
          <w:kern w:val="2"/>
          <w:sz w:val="72"/>
          <w:szCs w:val="72"/>
          <w:highlight w:val="none"/>
          <w:lang w:val="en-US" w:eastAsia="zh-CN" w:bidi="ar-SA"/>
        </w:rPr>
      </w:pPr>
      <w:bookmarkStart w:id="0" w:name="_Toc15377193"/>
      <w:bookmarkStart w:id="1" w:name="_Toc15306267"/>
      <w:bookmarkStart w:id="2" w:name="_Toc15377425"/>
      <w:bookmarkStart w:id="3" w:name="_Toc15396475"/>
      <w:bookmarkStart w:id="4" w:name="_Toc15378441"/>
      <w:bookmarkStart w:id="5" w:name="_Toc15396597"/>
    </w:p>
    <w:p w14:paraId="645AF24C">
      <w:pPr>
        <w:pStyle w:val="8"/>
        <w:rPr>
          <w:rFonts w:hint="eastAsia" w:ascii="Times New Roman" w:hAnsi="Times New Roman" w:eastAsia="方正小标宋简体" w:cs="Times New Roman"/>
          <w:color w:val="auto"/>
          <w:kern w:val="2"/>
          <w:sz w:val="72"/>
          <w:szCs w:val="72"/>
          <w:highlight w:val="none"/>
          <w:lang w:val="en-US" w:eastAsia="zh-CN" w:bidi="ar-SA"/>
        </w:rPr>
      </w:pPr>
    </w:p>
    <w:p w14:paraId="33D7CA39">
      <w:pPr>
        <w:pStyle w:val="8"/>
        <w:rPr>
          <w:rFonts w:hint="eastAsia" w:ascii="Times New Roman" w:hAnsi="Times New Roman" w:eastAsia="方正小标宋简体" w:cs="Times New Roman"/>
          <w:color w:val="auto"/>
          <w:kern w:val="2"/>
          <w:sz w:val="72"/>
          <w:szCs w:val="72"/>
          <w:highlight w:val="none"/>
          <w:lang w:val="en-US" w:eastAsia="zh-CN" w:bidi="ar-SA"/>
        </w:rPr>
      </w:pPr>
    </w:p>
    <w:p w14:paraId="4109F151">
      <w:pPr>
        <w:pStyle w:val="8"/>
        <w:jc w:val="center"/>
        <w:rPr>
          <w:rFonts w:hint="eastAsia" w:ascii="方正小标宋_GBK" w:hAnsi="方正小标宋_GBK" w:eastAsia="方正小标宋_GBK" w:cs="方正小标宋_GBK"/>
          <w:b/>
          <w:bCs/>
          <w:color w:val="auto"/>
          <w:kern w:val="2"/>
          <w:sz w:val="44"/>
          <w:szCs w:val="44"/>
          <w:highlight w:val="none"/>
          <w:lang w:val="en-US" w:eastAsia="zh-CN" w:bidi="ar-SA"/>
        </w:rPr>
      </w:pPr>
      <w:r>
        <w:rPr>
          <w:rFonts w:hint="eastAsia" w:ascii="方正小标宋_GBK" w:hAnsi="方正小标宋_GBK" w:eastAsia="方正小标宋_GBK" w:cs="方正小标宋_GBK"/>
          <w:b/>
          <w:bCs/>
          <w:color w:val="auto"/>
          <w:kern w:val="2"/>
          <w:sz w:val="44"/>
          <w:szCs w:val="44"/>
          <w:highlight w:val="none"/>
          <w:lang w:val="en-US" w:eastAsia="zh-CN" w:bidi="ar-SA"/>
        </w:rPr>
        <w:t>2024年度市级部门</w:t>
      </w:r>
    </w:p>
    <w:p w14:paraId="7A12166F">
      <w:pPr>
        <w:pStyle w:val="8"/>
        <w:jc w:val="center"/>
        <w:rPr>
          <w:rFonts w:hint="default" w:ascii="方正小标宋_GBK" w:hAnsi="方正小标宋_GBK" w:eastAsia="方正小标宋_GBK" w:cs="方正小标宋_GBK"/>
          <w:b/>
          <w:bCs/>
          <w:color w:val="auto"/>
          <w:kern w:val="2"/>
          <w:sz w:val="44"/>
          <w:szCs w:val="44"/>
          <w:highlight w:val="none"/>
          <w:lang w:val="en-US" w:eastAsia="zh-CN" w:bidi="ar-SA"/>
        </w:rPr>
      </w:pPr>
      <w:r>
        <w:rPr>
          <w:rFonts w:hint="eastAsia" w:ascii="方正小标宋_GBK" w:hAnsi="方正小标宋_GBK" w:eastAsia="方正小标宋_GBK" w:cs="方正小标宋_GBK"/>
          <w:b/>
          <w:bCs/>
          <w:color w:val="auto"/>
          <w:kern w:val="2"/>
          <w:sz w:val="44"/>
          <w:szCs w:val="44"/>
          <w:highlight w:val="none"/>
          <w:lang w:val="en-US" w:eastAsia="zh-CN" w:bidi="ar-SA"/>
        </w:rPr>
        <w:t>中共攀枝花</w:t>
      </w:r>
      <w:bookmarkStart w:id="108" w:name="_GoBack"/>
      <w:bookmarkEnd w:id="108"/>
      <w:r>
        <w:rPr>
          <w:rFonts w:hint="eastAsia" w:ascii="方正小标宋_GBK" w:hAnsi="方正小标宋_GBK" w:eastAsia="方正小标宋_GBK" w:cs="方正小标宋_GBK"/>
          <w:b/>
          <w:bCs/>
          <w:color w:val="auto"/>
          <w:kern w:val="2"/>
          <w:sz w:val="44"/>
          <w:szCs w:val="44"/>
          <w:highlight w:val="none"/>
          <w:lang w:val="en-US" w:eastAsia="zh-CN" w:bidi="ar-SA"/>
        </w:rPr>
        <w:t>市纪律检查委员会</w:t>
      </w:r>
    </w:p>
    <w:p w14:paraId="6AD6E049">
      <w:pPr>
        <w:pStyle w:val="8"/>
        <w:jc w:val="center"/>
        <w:rPr>
          <w:rFonts w:hint="eastAsia" w:ascii="方正小标宋_GBK" w:hAnsi="方正小标宋_GBK" w:eastAsia="方正小标宋_GBK" w:cs="方正小标宋_GBK"/>
          <w:b/>
          <w:bCs/>
          <w:color w:val="auto"/>
          <w:kern w:val="2"/>
          <w:sz w:val="44"/>
          <w:szCs w:val="44"/>
          <w:highlight w:val="none"/>
          <w:lang w:val="en-US" w:eastAsia="zh-CN" w:bidi="ar-SA"/>
        </w:rPr>
      </w:pPr>
      <w:r>
        <w:rPr>
          <w:rFonts w:hint="eastAsia" w:ascii="方正小标宋_GBK" w:hAnsi="方正小标宋_GBK" w:eastAsia="方正小标宋_GBK" w:cs="方正小标宋_GBK"/>
          <w:b/>
          <w:bCs/>
          <w:color w:val="auto"/>
          <w:kern w:val="2"/>
          <w:sz w:val="44"/>
          <w:szCs w:val="44"/>
          <w:highlight w:val="none"/>
          <w:lang w:val="en-US" w:eastAsia="zh-CN" w:bidi="ar-SA"/>
        </w:rPr>
        <w:t>攀枝花市监察委员会</w:t>
      </w:r>
    </w:p>
    <w:p w14:paraId="5C2EDE97">
      <w:pPr>
        <w:pStyle w:val="8"/>
        <w:jc w:val="center"/>
        <w:rPr>
          <w:rFonts w:ascii="Times New Roman" w:hAnsi="Times New Roman"/>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eastAsia" w:ascii="方正小标宋_GBK" w:hAnsi="方正小标宋_GBK" w:eastAsia="方正小标宋_GBK" w:cs="方正小标宋_GBK"/>
          <w:b/>
          <w:bCs/>
          <w:color w:val="auto"/>
          <w:kern w:val="2"/>
          <w:sz w:val="44"/>
          <w:szCs w:val="44"/>
          <w:highlight w:val="none"/>
          <w:lang w:val="en-US" w:eastAsia="zh-CN" w:bidi="ar-SA"/>
        </w:rPr>
        <w:t>决算公开编制说</w:t>
      </w:r>
    </w:p>
    <w:bookmarkEnd w:id="0"/>
    <w:bookmarkEnd w:id="1"/>
    <w:bookmarkEnd w:id="2"/>
    <w:bookmarkEnd w:id="3"/>
    <w:bookmarkEnd w:id="4"/>
    <w:bookmarkEnd w:id="5"/>
    <w:p w14:paraId="59FAB82F">
      <w:pPr>
        <w:widowControl/>
        <w:jc w:val="center"/>
        <w:rPr>
          <w:rFonts w:ascii="Times New Roman" w:hAnsi="Times New Roman" w:eastAsia="黑体" w:cstheme="minorBidi"/>
          <w:color w:val="auto"/>
          <w:sz w:val="28"/>
          <w:szCs w:val="28"/>
          <w:highlight w:val="none"/>
        </w:rPr>
      </w:pPr>
      <w:r>
        <w:rPr>
          <w:rFonts w:hint="eastAsia" w:ascii="Times New Roman" w:hAnsi="Times New Roman" w:eastAsia="黑体"/>
          <w:color w:val="auto"/>
          <w:sz w:val="48"/>
          <w:szCs w:val="48"/>
          <w:highlight w:val="none"/>
        </w:rPr>
        <w:t>目录</w:t>
      </w:r>
    </w:p>
    <w:p w14:paraId="259DE16B">
      <w:pPr>
        <w:pStyle w:val="14"/>
        <w:rPr>
          <w:rFonts w:hint="eastAsia" w:ascii="Times New Roman" w:hAnsi="Times New Roman" w:eastAsia="仿宋_GB2312" w:cs="仿宋_GB2312"/>
          <w:b/>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日</w:t>
      </w:r>
      <w:bookmarkStart w:id="6" w:name="_Toc15377196"/>
      <w:bookmarkStart w:id="7" w:name="_Toc15396599"/>
    </w:p>
    <w:sdt>
      <w:sdtPr>
        <w:rPr>
          <w:rFonts w:ascii="宋体" w:hAnsi="宋体" w:eastAsia="宋体" w:cs="Times New Roman"/>
          <w:kern w:val="2"/>
          <w:sz w:val="21"/>
          <w:szCs w:val="24"/>
          <w:lang w:val="en-US" w:eastAsia="zh-CN" w:bidi="ar-SA"/>
        </w:rPr>
        <w:id w:val="147458905"/>
        <w15:color w:val="DBDBDB"/>
        <w:docPartObj>
          <w:docPartGallery w:val="Table of Contents"/>
          <w:docPartUnique/>
        </w:docPartObj>
      </w:sdtPr>
      <w:sdtEndPr>
        <w:rPr>
          <w:rFonts w:hint="eastAsia" w:ascii="仿宋_GB2312" w:hAnsi="Times New Roman" w:eastAsia="宋体" w:cs="Times New Roman"/>
          <w:kern w:val="2"/>
          <w:sz w:val="21"/>
          <w:szCs w:val="32"/>
          <w:lang w:val="en-US" w:eastAsia="zh-CN" w:bidi="ar-SA"/>
        </w:rPr>
      </w:sdtEndPr>
      <w:sdtContent>
        <w:p w14:paraId="3FA382EE">
          <w:pPr>
            <w:spacing w:before="0" w:beforeLines="0" w:after="0" w:afterLines="0" w:line="240" w:lineRule="auto"/>
            <w:ind w:left="0" w:leftChars="0" w:right="0" w:rightChars="0" w:firstLine="0" w:firstLineChars="0"/>
            <w:jc w:val="center"/>
          </w:pPr>
        </w:p>
        <w:p w14:paraId="79D56AE8">
          <w:pPr>
            <w:pStyle w:val="14"/>
            <w:tabs>
              <w:tab w:val="right" w:leader="dot" w:pos="8306"/>
              <w:tab w:val="clear" w:pos="8296"/>
            </w:tabs>
            <w:spacing w:line="240" w:lineRule="auto"/>
            <w:rPr>
              <w:rFonts w:hint="default" w:ascii="Times New Roman" w:hAnsi="Times New Roman" w:cs="Times New Roman"/>
              <w:sz w:val="32"/>
              <w:szCs w:val="32"/>
            </w:rPr>
          </w:pPr>
          <w:r>
            <w:rPr>
              <w:rFonts w:hint="eastAsia"/>
            </w:rPr>
            <w:fldChar w:fldCharType="begin"/>
          </w:r>
          <w:r>
            <w:rPr>
              <w:rFonts w:hint="eastAsia"/>
            </w:rPr>
            <w:instrText xml:space="preserve">TOC \o "1-3" \h \u </w:instrText>
          </w:r>
          <w:r>
            <w:rPr>
              <w:rFonts w:hint="eastAsia"/>
            </w:rPr>
            <w:fldChar w:fldCharType="separate"/>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_Toc23737 </w:instrText>
          </w:r>
          <w:r>
            <w:rPr>
              <w:rFonts w:hint="default" w:ascii="Times New Roman" w:hAnsi="Times New Roman" w:cs="Times New Roman"/>
              <w:sz w:val="32"/>
              <w:szCs w:val="32"/>
            </w:rPr>
            <w:fldChar w:fldCharType="separate"/>
          </w:r>
          <w:r>
            <w:rPr>
              <w:rFonts w:hint="default" w:ascii="Times New Roman" w:hAnsi="Times New Roman" w:eastAsia="方正小标宋简体" w:cs="Times New Roman"/>
              <w:sz w:val="32"/>
              <w:szCs w:val="32"/>
              <w:highlight w:val="none"/>
            </w:rPr>
            <w:t>第一部分</w:t>
          </w:r>
          <w:r>
            <w:rPr>
              <w:rFonts w:hint="default" w:ascii="Times New Roman" w:hAnsi="Times New Roman" w:eastAsia="方正小标宋简体" w:cs="Times New Roman"/>
              <w:sz w:val="32"/>
              <w:szCs w:val="32"/>
              <w:highlight w:val="none"/>
              <w:lang w:val="en-US" w:eastAsia="zh-CN"/>
            </w:rPr>
            <w:t xml:space="preserve"> </w:t>
          </w:r>
          <w:r>
            <w:rPr>
              <w:rFonts w:hint="default" w:ascii="Times New Roman" w:hAnsi="Times New Roman" w:eastAsia="方正小标宋简体" w:cs="Times New Roman"/>
              <w:sz w:val="32"/>
              <w:szCs w:val="32"/>
              <w:highlight w:val="none"/>
            </w:rPr>
            <w:t xml:space="preserve"> </w:t>
          </w:r>
          <w:r>
            <w:rPr>
              <w:rFonts w:hint="default" w:ascii="Times New Roman" w:hAnsi="Times New Roman" w:eastAsia="方正小标宋简体" w:cs="Times New Roman"/>
              <w:bCs w:val="0"/>
              <w:sz w:val="32"/>
              <w:szCs w:val="32"/>
              <w:highlight w:val="none"/>
            </w:rPr>
            <w:t>部门概况</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_Toc23737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4B7829B0">
          <w:pPr>
            <w:pStyle w:val="17"/>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_Toc25020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highlight w:val="none"/>
              <w:lang w:eastAsia="zh-CN"/>
            </w:rPr>
            <w:t>部门职责</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_Toc25020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249948AB">
          <w:pPr>
            <w:pStyle w:val="17"/>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_Toc4002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rPr>
            <w:t>二、机</w:t>
          </w:r>
          <w:r>
            <w:rPr>
              <w:rFonts w:hint="default" w:ascii="Times New Roman" w:hAnsi="Times New Roman" w:eastAsia="方正仿宋_GBK" w:cs="Times New Roman"/>
              <w:bCs w:val="0"/>
              <w:sz w:val="32"/>
              <w:szCs w:val="32"/>
              <w:highlight w:val="none"/>
            </w:rPr>
            <w:t>构设置</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_Toc4002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3F16F569">
          <w:pPr>
            <w:pStyle w:val="14"/>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_Toc17233 </w:instrText>
          </w:r>
          <w:r>
            <w:rPr>
              <w:rFonts w:hint="default" w:ascii="Times New Roman" w:hAnsi="Times New Roman" w:cs="Times New Roman"/>
              <w:sz w:val="32"/>
              <w:szCs w:val="32"/>
            </w:rPr>
            <w:fldChar w:fldCharType="separate"/>
          </w:r>
          <w:r>
            <w:rPr>
              <w:rFonts w:hint="default" w:ascii="Times New Roman" w:hAnsi="Times New Roman" w:eastAsia="方正小标宋简体" w:cs="Times New Roman"/>
              <w:sz w:val="32"/>
              <w:szCs w:val="32"/>
              <w:highlight w:val="none"/>
            </w:rPr>
            <w:t>第二部分</w:t>
          </w:r>
          <w:r>
            <w:rPr>
              <w:rFonts w:hint="default" w:ascii="Times New Roman" w:hAnsi="Times New Roman" w:eastAsia="方正小标宋简体" w:cs="Times New Roman"/>
              <w:sz w:val="32"/>
              <w:szCs w:val="32"/>
              <w:highlight w:val="none"/>
              <w:lang w:val="en-US" w:eastAsia="zh-CN"/>
            </w:rPr>
            <w:t xml:space="preserve"> </w:t>
          </w:r>
          <w:r>
            <w:rPr>
              <w:rFonts w:hint="default" w:ascii="Times New Roman" w:hAnsi="Times New Roman" w:eastAsia="方正小标宋简体" w:cs="Times New Roman"/>
              <w:sz w:val="32"/>
              <w:szCs w:val="32"/>
              <w:highlight w:val="none"/>
            </w:rPr>
            <w:t xml:space="preserve"> </w:t>
          </w:r>
          <w:r>
            <w:rPr>
              <w:rFonts w:hint="default" w:ascii="Times New Roman" w:hAnsi="Times New Roman" w:eastAsia="方正小标宋简体" w:cs="Times New Roman"/>
              <w:sz w:val="32"/>
              <w:szCs w:val="32"/>
              <w:highlight w:val="none"/>
              <w:lang w:val="en-US" w:eastAsia="zh-CN"/>
            </w:rPr>
            <w:t>2024年度</w:t>
          </w:r>
          <w:r>
            <w:rPr>
              <w:rFonts w:hint="default" w:ascii="Times New Roman" w:hAnsi="Times New Roman" w:eastAsia="方正小标宋简体" w:cs="Times New Roman"/>
              <w:sz w:val="32"/>
              <w:szCs w:val="32"/>
              <w:highlight w:val="none"/>
            </w:rPr>
            <w:t>部门决算情况说明</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_Toc17233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7AD858D7">
          <w:pPr>
            <w:pStyle w:val="17"/>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_Toc21390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lang w:eastAsia="zh-CN"/>
            </w:rPr>
            <w:t>一、</w:t>
          </w:r>
          <w:r>
            <w:rPr>
              <w:rFonts w:hint="default" w:ascii="Times New Roman" w:hAnsi="Times New Roman" w:eastAsia="方正仿宋_GBK" w:cs="Times New Roman"/>
              <w:sz w:val="32"/>
              <w:szCs w:val="32"/>
              <w:highlight w:val="none"/>
            </w:rPr>
            <w:t>收入支出决算总体情况说明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_Toc21390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5E437F53">
          <w:pPr>
            <w:pStyle w:val="17"/>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_Toc13995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lang w:eastAsia="zh-CN"/>
            </w:rPr>
            <w:t>二、收入决算情况说明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_Toc13995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5D9A3011">
          <w:pPr>
            <w:pStyle w:val="17"/>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_Toc20682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lang w:eastAsia="zh-CN"/>
            </w:rPr>
            <w:t>三、</w:t>
          </w:r>
          <w:r>
            <w:rPr>
              <w:rFonts w:hint="default" w:ascii="Times New Roman" w:hAnsi="Times New Roman" w:eastAsia="方正仿宋_GBK" w:cs="Times New Roman"/>
              <w:sz w:val="32"/>
              <w:szCs w:val="32"/>
              <w:highlight w:val="none"/>
            </w:rPr>
            <w:t>支出决算情况说明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_Toc20682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22515D5E">
          <w:pPr>
            <w:pStyle w:val="17"/>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_Toc31545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rPr>
            <w:t>四、财政拨款收入支出决算总体情况说明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_Toc31545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7CA5E487">
          <w:pPr>
            <w:pStyle w:val="17"/>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_Toc2043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rPr>
            <w:t>五、一般公共预算财政拨款支出决算情况说明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_Toc2043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6BD05F23">
          <w:pPr>
            <w:pStyle w:val="17"/>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_Toc6710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rPr>
            <w:t>六、一般公共预算财政拨款基本支出决算情况说明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_Toc6710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11</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3525726D">
          <w:pPr>
            <w:pStyle w:val="17"/>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_Toc25585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rPr>
            <w:t>七、财政拨款“三公”经费支出决算情况说明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_Toc25585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11</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3D0CC8ED">
          <w:pPr>
            <w:pStyle w:val="17"/>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_Toc18352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rPr>
            <w:t>八、政府性基金预算支出决算情况说明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_Toc18352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13</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78DFE5BD">
          <w:pPr>
            <w:pStyle w:val="17"/>
            <w:tabs>
              <w:tab w:val="right" w:leader="dot" w:pos="8306"/>
              <w:tab w:val="clear" w:pos="8296"/>
            </w:tabs>
            <w:spacing w:line="24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_Toc21268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lang w:eastAsia="zh-CN"/>
            </w:rPr>
            <w:t>九、</w:t>
          </w:r>
          <w:r>
            <w:rPr>
              <w:rFonts w:hint="default" w:ascii="Times New Roman" w:hAnsi="Times New Roman" w:eastAsia="方正仿宋_GBK" w:cs="Times New Roman"/>
              <w:sz w:val="32"/>
              <w:szCs w:val="32"/>
              <w:highlight w:val="none"/>
            </w:rPr>
            <w:t>国有资本经营预算支出决算情况说明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_Toc21268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13</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501A3743">
          <w:pPr>
            <w:pStyle w:val="17"/>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_Toc24756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highlight w:val="none"/>
              <w:lang w:eastAsia="zh-CN"/>
            </w:rPr>
            <w:t>十、</w:t>
          </w:r>
          <w:r>
            <w:rPr>
              <w:rFonts w:hint="default" w:ascii="Times New Roman" w:hAnsi="Times New Roman" w:eastAsia="方正仿宋_GBK" w:cs="Times New Roman"/>
              <w:sz w:val="32"/>
              <w:szCs w:val="32"/>
              <w:highlight w:val="none"/>
            </w:rPr>
            <w:t>其他重要事项的情况说明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_Toc24756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14</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42E4473F">
          <w:pPr>
            <w:pStyle w:val="14"/>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_Toc27999 </w:instrText>
          </w:r>
          <w:r>
            <w:rPr>
              <w:rFonts w:hint="default" w:ascii="Times New Roman" w:hAnsi="Times New Roman" w:cs="Times New Roman"/>
              <w:sz w:val="32"/>
              <w:szCs w:val="32"/>
            </w:rPr>
            <w:fldChar w:fldCharType="separate"/>
          </w: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部分</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名词解释</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_Toc27999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16</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69F1A8F6">
          <w:pPr>
            <w:pStyle w:val="14"/>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_Toc6126 </w:instrText>
          </w:r>
          <w:r>
            <w:rPr>
              <w:rFonts w:hint="default" w:ascii="Times New Roman" w:hAnsi="Times New Roman" w:cs="Times New Roman"/>
              <w:sz w:val="32"/>
              <w:szCs w:val="32"/>
            </w:rPr>
            <w:fldChar w:fldCharType="separate"/>
          </w:r>
          <w:r>
            <w:rPr>
              <w:rFonts w:hint="default" w:ascii="Times New Roman" w:hAnsi="Times New Roman" w:eastAsia="黑体" w:cs="Times New Roman"/>
              <w:sz w:val="32"/>
              <w:szCs w:val="32"/>
              <w:highlight w:val="none"/>
            </w:rPr>
            <w:t>第四部分</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 xml:space="preserve"> 附件</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_Toc6126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19</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0626E922">
          <w:pPr>
            <w:pStyle w:val="14"/>
            <w:tabs>
              <w:tab w:val="right" w:leader="dot" w:pos="8306"/>
              <w:tab w:val="clear" w:pos="8296"/>
            </w:tabs>
            <w:spacing w:line="240" w:lineRule="auto"/>
            <w:rPr>
              <w:rFonts w:hint="default" w:ascii="Times New Roman" w:hAnsi="Times New Roman" w:cs="Times New Roman"/>
              <w:sz w:val="32"/>
              <w:szCs w:val="32"/>
            </w:rPr>
            <w:sectPr>
              <w:footerReference r:id="rId6" w:type="first"/>
              <w:footerReference r:id="rId5" w:type="default"/>
              <w:pgSz w:w="11906" w:h="16838"/>
              <w:pgMar w:top="1440" w:right="1800" w:bottom="1440" w:left="1800" w:header="851" w:footer="992" w:gutter="0"/>
              <w:pgNumType w:fmt="decimal" w:start="1"/>
              <w:cols w:space="425" w:num="1"/>
              <w:docGrid w:type="lines" w:linePitch="312" w:charSpace="0"/>
            </w:sectPr>
          </w:pPr>
        </w:p>
        <w:p w14:paraId="54C41A29">
          <w:pPr>
            <w:pStyle w:val="14"/>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_Toc4862 </w:instrText>
          </w:r>
          <w:r>
            <w:rPr>
              <w:rFonts w:hint="default" w:ascii="Times New Roman" w:hAnsi="Times New Roman" w:cs="Times New Roman"/>
              <w:sz w:val="32"/>
              <w:szCs w:val="32"/>
            </w:rPr>
            <w:fldChar w:fldCharType="separate"/>
          </w:r>
          <w:r>
            <w:rPr>
              <w:rFonts w:hint="default" w:ascii="Times New Roman" w:hAnsi="Times New Roman" w:eastAsia="黑体" w:cs="Times New Roman"/>
              <w:sz w:val="32"/>
              <w:szCs w:val="32"/>
              <w:highlight w:val="none"/>
            </w:rPr>
            <w:t xml:space="preserve">第五部分 </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附表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_Toc4862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2316B9DC">
          <w:pPr>
            <w:pStyle w:val="17"/>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_Toc11331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sz w:val="32"/>
              <w:szCs w:val="32"/>
              <w:highlight w:val="none"/>
            </w:rPr>
            <w:t>一、收入支出决算总表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_Toc11331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7390247C">
          <w:pPr>
            <w:pStyle w:val="17"/>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_Toc4360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sz w:val="32"/>
              <w:szCs w:val="32"/>
              <w:highlight w:val="none"/>
            </w:rPr>
            <w:t>二、收入决算表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_Toc4360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489E7257">
          <w:pPr>
            <w:pStyle w:val="17"/>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_Toc8486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sz w:val="32"/>
              <w:szCs w:val="32"/>
              <w:highlight w:val="none"/>
            </w:rPr>
            <w:t>三、支出决算表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_Toc8486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1AF9A704">
          <w:pPr>
            <w:pStyle w:val="17"/>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_Toc1270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sz w:val="32"/>
              <w:szCs w:val="32"/>
              <w:highlight w:val="none"/>
            </w:rPr>
            <w:t>四、财政拨款收入支出决算总表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_Toc1270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41A0C33A">
          <w:pPr>
            <w:pStyle w:val="17"/>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_Toc28349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sz w:val="32"/>
              <w:szCs w:val="32"/>
              <w:highlight w:val="none"/>
            </w:rPr>
            <w:t>五、财政拨款支出决算明细表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_Toc28349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05FE06E9">
          <w:pPr>
            <w:pStyle w:val="17"/>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_Toc15541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sz w:val="32"/>
              <w:szCs w:val="32"/>
              <w:highlight w:val="none"/>
            </w:rPr>
            <w:t>六、一般公共预算财政拨款支出决算表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_Toc15541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406AD6F6">
          <w:pPr>
            <w:pStyle w:val="17"/>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_Toc4116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sz w:val="32"/>
              <w:szCs w:val="32"/>
              <w:highlight w:val="none"/>
            </w:rPr>
            <w:t>七、一般公共预算财政拨款支出决算明细表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_Toc4116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0E9474E5">
          <w:pPr>
            <w:pStyle w:val="17"/>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_Toc148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sz w:val="32"/>
              <w:szCs w:val="32"/>
              <w:highlight w:val="none"/>
            </w:rPr>
            <w:t>八、一般公共预算财政拨款基本支出决算表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_Toc148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750FC4EB">
          <w:pPr>
            <w:pStyle w:val="17"/>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_Toc18408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sz w:val="32"/>
              <w:szCs w:val="32"/>
              <w:highlight w:val="none"/>
            </w:rPr>
            <w:t>九、一般公共预算财政拨款项目支出决算表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_Toc18408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3DD0C41F">
          <w:pPr>
            <w:pStyle w:val="17"/>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_Toc23903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sz w:val="32"/>
              <w:szCs w:val="32"/>
              <w:highlight w:val="none"/>
            </w:rPr>
            <w:t>十、政府性基金预算财政拨款收入支出决算表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_Toc23903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177139F3">
          <w:pPr>
            <w:pStyle w:val="17"/>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_Toc30934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sz w:val="32"/>
              <w:szCs w:val="32"/>
              <w:highlight w:val="none"/>
            </w:rPr>
            <w:t>十一、国有资本经营预算</w:t>
          </w:r>
          <w:r>
            <w:rPr>
              <w:rFonts w:hint="default" w:ascii="Times New Roman" w:hAnsi="Times New Roman" w:eastAsia="仿宋_GB2312" w:cs="Times New Roman"/>
              <w:sz w:val="32"/>
              <w:szCs w:val="32"/>
              <w:highlight w:val="none"/>
              <w:lang w:eastAsia="zh-CN"/>
            </w:rPr>
            <w:t>财政拨款收入</w:t>
          </w:r>
          <w:r>
            <w:rPr>
              <w:rFonts w:hint="default" w:ascii="Times New Roman" w:hAnsi="Times New Roman" w:eastAsia="仿宋_GB2312" w:cs="Times New Roman"/>
              <w:sz w:val="32"/>
              <w:szCs w:val="32"/>
              <w:highlight w:val="none"/>
            </w:rPr>
            <w:t>支出决算表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_Toc30934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6433A61C">
          <w:pPr>
            <w:pStyle w:val="17"/>
            <w:tabs>
              <w:tab w:val="right" w:leader="dot" w:pos="8306"/>
              <w:tab w:val="clear" w:pos="8296"/>
            </w:tabs>
            <w:spacing w:line="240" w:lineRule="auto"/>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_Toc30801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sz w:val="32"/>
              <w:szCs w:val="32"/>
              <w:highlight w:val="none"/>
            </w:rPr>
            <w:t>十二、</w:t>
          </w:r>
          <w:r>
            <w:rPr>
              <w:rFonts w:hint="default" w:ascii="Times New Roman" w:hAnsi="Times New Roman" w:eastAsia="仿宋_GB2312" w:cs="Times New Roman"/>
              <w:sz w:val="32"/>
              <w:szCs w:val="32"/>
              <w:highlight w:val="none"/>
              <w:lang w:eastAsia="zh-CN"/>
            </w:rPr>
            <w:t>国有资本经营预算财政拨款支出决算表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_Toc30801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5E3DEF9B">
          <w:pPr>
            <w:pStyle w:val="17"/>
            <w:tabs>
              <w:tab w:val="right" w:leader="dot" w:pos="8306"/>
              <w:tab w:val="clear" w:pos="8296"/>
            </w:tabs>
            <w:spacing w:line="240" w:lineRule="auto"/>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_Toc5101 </w:instrText>
          </w:r>
          <w:r>
            <w:rPr>
              <w:rFonts w:hint="default" w:ascii="Times New Roman" w:hAnsi="Times New Roman" w:cs="Times New Roman"/>
              <w:sz w:val="32"/>
              <w:szCs w:val="32"/>
            </w:rPr>
            <w:fldChar w:fldCharType="separate"/>
          </w:r>
          <w:r>
            <w:rPr>
              <w:rFonts w:hint="default" w:ascii="Times New Roman" w:hAnsi="Times New Roman" w:eastAsia="仿宋_GB2312" w:cs="Times New Roman"/>
              <w:sz w:val="32"/>
              <w:szCs w:val="32"/>
              <w:highlight w:val="none"/>
            </w:rPr>
            <w:t>十三、</w:t>
          </w:r>
          <w:r>
            <w:rPr>
              <w:rFonts w:hint="default" w:ascii="Times New Roman" w:hAnsi="Times New Roman" w:eastAsia="仿宋_GB2312" w:cs="Times New Roman"/>
              <w:sz w:val="32"/>
              <w:szCs w:val="32"/>
              <w:highlight w:val="none"/>
              <w:lang w:eastAsia="zh-CN"/>
            </w:rPr>
            <w:t>财政拨款“三公”经费支出决算表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_Toc5101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14:paraId="6C60B046">
          <w:pPr>
            <w:pStyle w:val="16"/>
            <w:rPr>
              <w:rFonts w:hint="eastAsia" w:ascii="仿宋_GB2312" w:hAnsi="Times New Roman" w:eastAsia="宋体" w:cs="Times New Roman"/>
              <w:kern w:val="2"/>
              <w:sz w:val="21"/>
              <w:szCs w:val="32"/>
              <w:lang w:val="en-US" w:eastAsia="zh-CN" w:bidi="ar-SA"/>
            </w:rPr>
          </w:pPr>
          <w:r>
            <w:rPr>
              <w:rFonts w:hint="eastAsia"/>
            </w:rPr>
            <w:fldChar w:fldCharType="end"/>
          </w:r>
        </w:p>
      </w:sdtContent>
    </w:sdt>
    <w:p w14:paraId="275DC6BB">
      <w:pPr>
        <w:rPr>
          <w:rFonts w:hint="eastAsia"/>
        </w:rPr>
      </w:pPr>
    </w:p>
    <w:p w14:paraId="3D8D6CF8">
      <w:pPr>
        <w:pStyle w:val="16"/>
        <w:rPr>
          <w:rFonts w:hint="eastAsia"/>
        </w:rPr>
      </w:pPr>
    </w:p>
    <w:p w14:paraId="2149DB32">
      <w:pPr>
        <w:rPr>
          <w:rFonts w:hint="eastAsia"/>
        </w:rPr>
      </w:pPr>
    </w:p>
    <w:p w14:paraId="5CD29195">
      <w:pPr>
        <w:pStyle w:val="16"/>
        <w:rPr>
          <w:rFonts w:hint="eastAsia"/>
        </w:rPr>
      </w:pPr>
    </w:p>
    <w:p w14:paraId="108C8CFF">
      <w:pPr>
        <w:rPr>
          <w:rFonts w:hint="eastAsia"/>
        </w:rPr>
      </w:pPr>
    </w:p>
    <w:p w14:paraId="03859B52">
      <w:pPr>
        <w:pStyle w:val="16"/>
        <w:rPr>
          <w:rFonts w:hint="eastAsia"/>
        </w:rPr>
      </w:pPr>
    </w:p>
    <w:p w14:paraId="1D1B6663">
      <w:pPr>
        <w:rPr>
          <w:rFonts w:hint="eastAsia"/>
        </w:rPr>
      </w:pPr>
    </w:p>
    <w:p w14:paraId="45B6C801">
      <w:pPr>
        <w:pStyle w:val="16"/>
        <w:rPr>
          <w:rFonts w:hint="eastAsia"/>
        </w:rPr>
      </w:pPr>
    </w:p>
    <w:p w14:paraId="3DA255B6">
      <w:pPr>
        <w:rPr>
          <w:rFonts w:hint="eastAsia"/>
        </w:rPr>
      </w:pPr>
    </w:p>
    <w:p w14:paraId="0DDAD182">
      <w:pPr>
        <w:pStyle w:val="16"/>
        <w:rPr>
          <w:rFonts w:hint="eastAsia"/>
        </w:rPr>
      </w:pPr>
    </w:p>
    <w:p w14:paraId="30FAEB00">
      <w:pPr>
        <w:rPr>
          <w:rFonts w:hint="eastAsia"/>
        </w:rPr>
      </w:pPr>
    </w:p>
    <w:p w14:paraId="6F2E3649">
      <w:pPr>
        <w:pStyle w:val="3"/>
        <w:jc w:val="center"/>
        <w:rPr>
          <w:rFonts w:hint="eastAsia" w:ascii="Times New Roman" w:hAnsi="Times New Roman" w:eastAsia="方正小标宋简体" w:cs="方正小标宋简体"/>
          <w:b w:val="0"/>
          <w:color w:val="auto"/>
          <w:highlight w:val="none"/>
        </w:rPr>
        <w:sectPr>
          <w:footerReference r:id="rId7" w:type="default"/>
          <w:pgSz w:w="11906" w:h="16838"/>
          <w:pgMar w:top="1440" w:right="1800" w:bottom="1440" w:left="1800" w:header="851" w:footer="992" w:gutter="0"/>
          <w:pgNumType w:fmt="decimal" w:start="1"/>
          <w:cols w:space="425" w:num="1"/>
          <w:docGrid w:type="lines" w:linePitch="312" w:charSpace="0"/>
        </w:sectPr>
      </w:pPr>
      <w:bookmarkStart w:id="8" w:name="_Toc23737"/>
    </w:p>
    <w:p w14:paraId="199D0915">
      <w:pPr>
        <w:pStyle w:val="3"/>
        <w:jc w:val="center"/>
        <w:rPr>
          <w:rFonts w:ascii="Times New Roman" w:hAnsi="Times New Roman" w:eastAsia="黑体"/>
          <w:color w:val="auto"/>
          <w:sz w:val="32"/>
          <w:szCs w:val="32"/>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30"/>
          <w:rFonts w:hint="eastAsia" w:ascii="Times New Roman" w:hAnsi="Times New Roman" w:eastAsia="方正小标宋简体" w:cs="方正小标宋简体"/>
          <w:b w:val="0"/>
          <w:bCs w:val="0"/>
          <w:color w:val="auto"/>
          <w:highlight w:val="none"/>
        </w:rPr>
        <w:t>部门概况</w:t>
      </w:r>
      <w:bookmarkEnd w:id="6"/>
      <w:bookmarkEnd w:id="7"/>
      <w:bookmarkEnd w:id="8"/>
    </w:p>
    <w:p w14:paraId="1E20A943">
      <w:pPr>
        <w:pStyle w:val="4"/>
        <w:numPr>
          <w:ilvl w:val="0"/>
          <w:numId w:val="1"/>
        </w:numPr>
        <w:rPr>
          <w:rFonts w:hint="eastAsia" w:ascii="Times New Roman" w:hAnsi="Times New Roman" w:eastAsia="黑体"/>
          <w:b w:val="0"/>
          <w:color w:val="auto"/>
          <w:highlight w:val="none"/>
          <w:lang w:eastAsia="zh-CN"/>
        </w:rPr>
      </w:pPr>
      <w:bookmarkStart w:id="9" w:name="_Toc25020"/>
      <w:r>
        <w:rPr>
          <w:rFonts w:hint="eastAsia" w:ascii="Times New Roman" w:hAnsi="Times New Roman" w:eastAsia="黑体"/>
          <w:b w:val="0"/>
          <w:color w:val="auto"/>
          <w:highlight w:val="none"/>
          <w:lang w:eastAsia="zh-CN"/>
        </w:rPr>
        <w:t>部门职责</w:t>
      </w:r>
      <w:bookmarkEnd w:id="9"/>
    </w:p>
    <w:p w14:paraId="2945CCE7">
      <w:pPr>
        <w:spacing w:line="240" w:lineRule="auto"/>
        <w:ind w:firstLine="640"/>
        <w:rPr>
          <w:rFonts w:hint="eastAsia"/>
          <w:lang w:eastAsia="zh-CN"/>
        </w:rPr>
      </w:pPr>
      <w:r>
        <w:rPr>
          <w:rFonts w:hint="eastAsia" w:ascii="方正仿宋_GBK" w:hAnsi="方正仿宋_GBK" w:eastAsia="方正仿宋_GBK" w:cs="方正仿宋_GBK"/>
          <w:sz w:val="32"/>
          <w:szCs w:val="32"/>
        </w:rPr>
        <w:t>一是负责党的纪律检查工作；二是依照党的章程和其他党内法规履行监督、执纪、问责职责；三是负责全市监察工作；四是依照法律规定履行监督、调查、处置职责；五是负责组织协调全面从严治党、党风廉政建设和反腐败宣传教育工作；六是负责综合分析全面从严治党、党风廉政建设和反腐败工作情况；七是协助市委管理、监督攀枝花纪检监察学院；八是完成市委、省纪委监委交办的其他任务。</w:t>
      </w:r>
    </w:p>
    <w:p w14:paraId="121A5C7B">
      <w:pPr>
        <w:pStyle w:val="4"/>
        <w:rPr>
          <w:rStyle w:val="31"/>
          <w:rFonts w:ascii="Times New Roman" w:hAnsi="Times New Roman"/>
          <w:b w:val="0"/>
          <w:bCs w:val="0"/>
          <w:color w:val="auto"/>
          <w:highlight w:val="none"/>
        </w:rPr>
      </w:pPr>
      <w:bookmarkStart w:id="10" w:name="_Toc4002"/>
      <w:bookmarkStart w:id="11" w:name="_Toc15396601"/>
      <w:bookmarkStart w:id="12" w:name="_Toc15377200"/>
      <w:r>
        <w:rPr>
          <w:rFonts w:hint="eastAsia" w:ascii="Times New Roman" w:hAnsi="Times New Roman" w:eastAsia="黑体"/>
          <w:b w:val="0"/>
          <w:color w:val="auto"/>
          <w:highlight w:val="none"/>
        </w:rPr>
        <w:t>二、机</w:t>
      </w:r>
      <w:r>
        <w:rPr>
          <w:rStyle w:val="31"/>
          <w:rFonts w:hint="eastAsia" w:ascii="Times New Roman" w:hAnsi="Times New Roman" w:eastAsia="黑体"/>
          <w:b w:val="0"/>
          <w:bCs w:val="0"/>
          <w:color w:val="auto"/>
          <w:highlight w:val="none"/>
        </w:rPr>
        <w:t>构设置</w:t>
      </w:r>
      <w:bookmarkEnd w:id="10"/>
      <w:bookmarkEnd w:id="11"/>
      <w:bookmarkEnd w:id="12"/>
    </w:p>
    <w:p w14:paraId="5F9339BA">
      <w:pPr>
        <w:spacing w:line="240" w:lineRule="auto"/>
        <w:ind w:firstLine="640" w:firstLineChars="200"/>
        <w:rPr>
          <w:rFonts w:hint="eastAsia" w:ascii="仿宋" w:hAnsi="仿宋" w:eastAsia="仿宋"/>
          <w:sz w:val="32"/>
          <w:szCs w:val="32"/>
        </w:rPr>
      </w:pPr>
      <w:bookmarkStart w:id="13" w:name="_Toc15306277"/>
      <w:bookmarkStart w:id="14" w:name="_Toc15377203"/>
      <w:bookmarkStart w:id="15" w:name="_Toc15378450"/>
      <w:bookmarkStart w:id="16" w:name="_Toc15377434"/>
      <w:r>
        <w:rPr>
          <w:rFonts w:eastAsia="方正仿宋_GBK"/>
          <w:sz w:val="32"/>
          <w:szCs w:val="32"/>
        </w:rPr>
        <w:t>中共攀枝花市</w:t>
      </w:r>
      <w:r>
        <w:rPr>
          <w:rFonts w:hint="eastAsia" w:eastAsia="方正仿宋_GBK"/>
          <w:sz w:val="32"/>
          <w:szCs w:val="32"/>
        </w:rPr>
        <w:t>纪律检查委员会</w:t>
      </w:r>
      <w:r>
        <w:rPr>
          <w:rFonts w:eastAsia="方正仿宋_GBK"/>
          <w:sz w:val="32"/>
          <w:szCs w:val="32"/>
        </w:rPr>
        <w:t xml:space="preserve"> 攀枝花市监察委员会（以下简称攀枝花市纪委监委）下属二级预算单位</w:t>
      </w:r>
      <w:r>
        <w:rPr>
          <w:rFonts w:eastAsia="方正仿宋_GBK"/>
          <w:b/>
          <w:bCs/>
          <w:sz w:val="32"/>
          <w:szCs w:val="32"/>
        </w:rPr>
        <w:t>2</w:t>
      </w:r>
      <w:r>
        <w:rPr>
          <w:rFonts w:eastAsia="方正仿宋_GBK"/>
          <w:sz w:val="32"/>
          <w:szCs w:val="32"/>
        </w:rPr>
        <w:t>个，其中行政单位</w:t>
      </w:r>
      <w:r>
        <w:rPr>
          <w:rFonts w:eastAsia="方正仿宋_GBK"/>
          <w:b/>
          <w:bCs/>
          <w:sz w:val="32"/>
          <w:szCs w:val="32"/>
        </w:rPr>
        <w:t>1</w:t>
      </w:r>
      <w:r>
        <w:rPr>
          <w:rFonts w:eastAsia="方正仿宋_GBK"/>
          <w:sz w:val="32"/>
          <w:szCs w:val="32"/>
        </w:rPr>
        <w:t>个，参照公务员法管理的事业单位</w:t>
      </w:r>
      <w:r>
        <w:rPr>
          <w:rFonts w:eastAsia="方正仿宋_GBK"/>
          <w:b/>
          <w:bCs/>
          <w:sz w:val="32"/>
          <w:szCs w:val="32"/>
        </w:rPr>
        <w:t>0</w:t>
      </w:r>
      <w:r>
        <w:rPr>
          <w:rFonts w:eastAsia="方正仿宋_GBK"/>
          <w:sz w:val="32"/>
          <w:szCs w:val="32"/>
        </w:rPr>
        <w:t>个，其他事业单位</w:t>
      </w:r>
      <w:r>
        <w:rPr>
          <w:rFonts w:eastAsia="方正仿宋_GBK"/>
          <w:b/>
          <w:bCs/>
          <w:sz w:val="32"/>
          <w:szCs w:val="32"/>
        </w:rPr>
        <w:t>1</w:t>
      </w:r>
      <w:r>
        <w:rPr>
          <w:rFonts w:eastAsia="方正仿宋_GBK"/>
          <w:sz w:val="32"/>
          <w:szCs w:val="32"/>
        </w:rPr>
        <w:t>个。</w:t>
      </w:r>
    </w:p>
    <w:p w14:paraId="78F8A2B3">
      <w:pPr>
        <w:pStyle w:val="8"/>
        <w:adjustRightInd w:val="0"/>
        <w:snapToGrid w:val="0"/>
        <w:spacing w:before="93" w:line="240" w:lineRule="auto"/>
        <w:ind w:firstLine="672" w:firstLineChars="210"/>
        <w:rPr>
          <w:rFonts w:ascii="Times New Roman" w:eastAsia="方正仿宋_GBK"/>
          <w:sz w:val="32"/>
          <w:szCs w:val="32"/>
        </w:rPr>
      </w:pPr>
      <w:bookmarkStart w:id="17" w:name="_Toc15377201"/>
      <w:bookmarkStart w:id="18" w:name="_Toc15306275"/>
      <w:bookmarkStart w:id="19" w:name="_Toc15377432"/>
      <w:bookmarkStart w:id="20" w:name="_Toc15378448"/>
      <w:r>
        <w:rPr>
          <w:rFonts w:ascii="Times New Roman" w:eastAsia="方正仿宋_GBK"/>
          <w:sz w:val="32"/>
          <w:szCs w:val="32"/>
        </w:rPr>
        <w:t>纳入攀枝花市纪委监委</w:t>
      </w:r>
      <w:r>
        <w:rPr>
          <w:rFonts w:ascii="Times New Roman" w:eastAsia="方正仿宋_GBK"/>
          <w:b/>
          <w:bCs/>
          <w:sz w:val="32"/>
          <w:szCs w:val="32"/>
        </w:rPr>
        <w:t>202</w:t>
      </w:r>
      <w:r>
        <w:rPr>
          <w:rFonts w:hint="eastAsia" w:ascii="Times New Roman" w:eastAsia="方正仿宋_GBK"/>
          <w:b/>
          <w:bCs/>
          <w:sz w:val="32"/>
          <w:szCs w:val="32"/>
          <w:lang w:val="en-US" w:eastAsia="zh-CN"/>
        </w:rPr>
        <w:t>4</w:t>
      </w:r>
      <w:r>
        <w:rPr>
          <w:rFonts w:ascii="Times New Roman" w:eastAsia="方正仿宋_GBK"/>
          <w:sz w:val="32"/>
          <w:szCs w:val="32"/>
        </w:rPr>
        <w:t>年度部门决算编制范围的二级预算单位包括：</w:t>
      </w:r>
    </w:p>
    <w:bookmarkEnd w:id="17"/>
    <w:bookmarkEnd w:id="18"/>
    <w:bookmarkEnd w:id="19"/>
    <w:bookmarkEnd w:id="20"/>
    <w:p w14:paraId="1E282EE6">
      <w:pPr>
        <w:adjustRightInd w:val="0"/>
        <w:snapToGrid w:val="0"/>
        <w:spacing w:line="240" w:lineRule="auto"/>
        <w:ind w:firstLine="640" w:firstLineChars="200"/>
        <w:rPr>
          <w:rFonts w:eastAsia="方正仿宋_GBK"/>
          <w:snapToGrid w:val="0"/>
          <w:kern w:val="0"/>
          <w:sz w:val="32"/>
          <w:szCs w:val="32"/>
        </w:rPr>
      </w:pPr>
      <w:bookmarkStart w:id="21" w:name="_Toc30089"/>
      <w:bookmarkStart w:id="22" w:name="_Toc15377202"/>
      <w:bookmarkStart w:id="23" w:name="_Toc15306276"/>
      <w:bookmarkStart w:id="24" w:name="_Toc15378449"/>
      <w:bookmarkStart w:id="25" w:name="_Toc15377433"/>
      <w:r>
        <w:rPr>
          <w:rFonts w:eastAsia="方正仿宋_GBK"/>
          <w:snapToGrid w:val="0"/>
          <w:kern w:val="0"/>
          <w:sz w:val="32"/>
          <w:szCs w:val="32"/>
        </w:rPr>
        <w:t>1.中共攀枝花市纪律检查委员会、</w:t>
      </w:r>
      <w:r>
        <w:rPr>
          <w:rFonts w:hint="eastAsia" w:eastAsia="方正仿宋_GBK"/>
          <w:snapToGrid w:val="0"/>
          <w:kern w:val="0"/>
          <w:sz w:val="32"/>
          <w:szCs w:val="32"/>
        </w:rPr>
        <w:t>攀枝花市</w:t>
      </w:r>
      <w:r>
        <w:rPr>
          <w:rFonts w:eastAsia="方正仿宋_GBK"/>
          <w:snapToGrid w:val="0"/>
          <w:kern w:val="0"/>
          <w:sz w:val="32"/>
          <w:szCs w:val="32"/>
        </w:rPr>
        <w:t>监察委员会机关</w:t>
      </w:r>
    </w:p>
    <w:p w14:paraId="6CDA9D8F">
      <w:pPr>
        <w:adjustRightInd w:val="0"/>
        <w:snapToGrid w:val="0"/>
        <w:spacing w:line="240" w:lineRule="auto"/>
        <w:ind w:left="640"/>
        <w:rPr>
          <w:rFonts w:eastAsia="方正仿宋_GBK"/>
          <w:snapToGrid w:val="0"/>
          <w:kern w:val="0"/>
          <w:sz w:val="33"/>
          <w:szCs w:val="33"/>
        </w:rPr>
      </w:pPr>
      <w:r>
        <w:rPr>
          <w:rFonts w:eastAsia="方正仿宋_GBK"/>
          <w:sz w:val="33"/>
          <w:szCs w:val="33"/>
        </w:rPr>
        <w:t>2.攀枝花市纪检监察教育培训与信息中心</w:t>
      </w:r>
      <w:bookmarkEnd w:id="21"/>
      <w:bookmarkEnd w:id="22"/>
      <w:bookmarkEnd w:id="23"/>
      <w:bookmarkEnd w:id="24"/>
      <w:bookmarkEnd w:id="25"/>
    </w:p>
    <w:bookmarkEnd w:id="13"/>
    <w:bookmarkEnd w:id="14"/>
    <w:bookmarkEnd w:id="15"/>
    <w:bookmarkEnd w:id="16"/>
    <w:p w14:paraId="78CB73F7">
      <w:pPr>
        <w:pStyle w:val="8"/>
        <w:numPr>
          <w:ilvl w:val="0"/>
          <w:numId w:val="0"/>
        </w:numPr>
        <w:adjustRightInd w:val="0"/>
        <w:snapToGrid w:val="0"/>
        <w:spacing w:before="93" w:line="600" w:lineRule="exact"/>
        <w:outlineLvl w:val="9"/>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14:paraId="5EA69EA7">
      <w:pPr>
        <w:pStyle w:val="3"/>
        <w:jc w:val="center"/>
        <w:rPr>
          <w:rFonts w:hint="eastAsia" w:ascii="Times New Roman" w:hAnsi="Times New Roman" w:eastAsia="方正小标宋简体" w:cs="方正小标宋简体"/>
          <w:b w:val="0"/>
          <w:color w:val="auto"/>
          <w:highlight w:val="none"/>
        </w:rPr>
      </w:pPr>
      <w:bookmarkStart w:id="26" w:name="_Toc15396602"/>
      <w:bookmarkStart w:id="27" w:name="_Toc17233"/>
      <w:bookmarkStart w:id="28"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26"/>
      <w:bookmarkEnd w:id="27"/>
      <w:bookmarkEnd w:id="28"/>
    </w:p>
    <w:p w14:paraId="0EB5586E">
      <w:pPr>
        <w:rPr>
          <w:rFonts w:ascii="Times New Roman" w:hAnsi="Times New Roman"/>
          <w:color w:val="auto"/>
          <w:highlight w:val="none"/>
        </w:rPr>
      </w:pPr>
    </w:p>
    <w:p w14:paraId="13C24468">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bookmarkStart w:id="29" w:name="_Toc15377205"/>
      <w:bookmarkStart w:id="30" w:name="_Toc15396603"/>
      <w:bookmarkStart w:id="31" w:name="_Toc21390"/>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1"/>
          <w:rFonts w:hint="eastAsia" w:ascii="Times New Roman" w:hAnsi="Times New Roman" w:eastAsia="黑体"/>
          <w:b w:val="0"/>
          <w:color w:val="auto"/>
          <w:highlight w:val="none"/>
        </w:rPr>
        <w:t>入支出决算总体情况说明</w:t>
      </w:r>
      <w:bookmarkEnd w:id="29"/>
      <w:bookmarkEnd w:id="30"/>
      <w:bookmarkEnd w:id="31"/>
    </w:p>
    <w:p w14:paraId="4C695AAF">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2024</w:t>
      </w:r>
      <w:r>
        <w:rPr>
          <w:rFonts w:hint="default" w:ascii="Times New Roman" w:hAnsi="Times New Roman" w:eastAsia="方正仿宋_GBK" w:cs="Times New Roman"/>
          <w:color w:val="auto"/>
          <w:sz w:val="32"/>
          <w:szCs w:val="32"/>
          <w:highlight w:val="none"/>
          <w:lang w:eastAsia="zh-CN"/>
        </w:rPr>
        <w:t>年度收入</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支出</w:t>
      </w:r>
      <w:r>
        <w:rPr>
          <w:rFonts w:hint="default" w:ascii="Times New Roman" w:hAnsi="Times New Roman" w:eastAsia="方正仿宋_GBK" w:cs="Times New Roman"/>
          <w:color w:val="auto"/>
          <w:sz w:val="32"/>
          <w:szCs w:val="32"/>
          <w:highlight w:val="none"/>
        </w:rPr>
        <w:t>总计</w:t>
      </w:r>
      <w:r>
        <w:rPr>
          <w:rFonts w:hint="default" w:ascii="Times New Roman" w:hAnsi="Times New Roman" w:eastAsia="方正仿宋_GBK" w:cs="Times New Roman"/>
          <w:color w:val="auto"/>
          <w:sz w:val="32"/>
          <w:szCs w:val="32"/>
          <w:highlight w:val="none"/>
          <w:lang w:eastAsia="zh-CN"/>
        </w:rPr>
        <w:t>均为</w:t>
      </w:r>
      <w:r>
        <w:rPr>
          <w:rFonts w:hint="default" w:ascii="Times New Roman" w:hAnsi="Times New Roman" w:eastAsia="方正仿宋_GBK" w:cs="Times New Roman"/>
          <w:b/>
          <w:bCs/>
          <w:sz w:val="32"/>
          <w:szCs w:val="32"/>
        </w:rPr>
        <w:t>4398.24</w:t>
      </w:r>
      <w:r>
        <w:rPr>
          <w:rFonts w:hint="default" w:ascii="Times New Roman" w:hAnsi="Times New Roman" w:eastAsia="方正仿宋_GBK" w:cs="Times New Roman"/>
          <w:color w:val="auto"/>
          <w:sz w:val="32"/>
          <w:szCs w:val="32"/>
          <w:highlight w:val="none"/>
        </w:rPr>
        <w:t>万元。与</w:t>
      </w:r>
      <w:r>
        <w:rPr>
          <w:rFonts w:hint="default" w:ascii="Times New Roman" w:hAnsi="Times New Roman" w:eastAsia="方正仿宋_GBK" w:cs="Times New Roman"/>
          <w:b/>
          <w:bCs/>
          <w:color w:val="auto"/>
          <w:sz w:val="32"/>
          <w:szCs w:val="32"/>
          <w:highlight w:val="none"/>
          <w:lang w:eastAsia="zh-CN"/>
        </w:rPr>
        <w:t>202</w:t>
      </w:r>
      <w:r>
        <w:rPr>
          <w:rFonts w:hint="default" w:ascii="Times New Roman" w:hAnsi="Times New Roman" w:eastAsia="方正仿宋_GBK" w:cs="Times New Roman"/>
          <w:b/>
          <w:bCs/>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eastAsia="zh-CN"/>
        </w:rPr>
        <w:t>度</w:t>
      </w:r>
      <w:r>
        <w:rPr>
          <w:rFonts w:hint="default" w:ascii="Times New Roman" w:hAnsi="Times New Roman" w:eastAsia="方正仿宋_GBK" w:cs="Times New Roman"/>
          <w:color w:val="auto"/>
          <w:sz w:val="32"/>
          <w:szCs w:val="32"/>
          <w:highlight w:val="none"/>
        </w:rPr>
        <w:t>相比，</w:t>
      </w:r>
      <w:r>
        <w:rPr>
          <w:rFonts w:hint="default" w:ascii="Times New Roman" w:hAnsi="Times New Roman" w:eastAsia="方正仿宋_GBK" w:cs="Times New Roman"/>
          <w:color w:val="auto"/>
          <w:sz w:val="32"/>
          <w:szCs w:val="32"/>
          <w:highlight w:val="none"/>
          <w:lang w:eastAsia="zh-CN"/>
        </w:rPr>
        <w:t>收入</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支出</w:t>
      </w:r>
      <w:r>
        <w:rPr>
          <w:rFonts w:hint="default" w:ascii="Times New Roman" w:hAnsi="Times New Roman" w:eastAsia="方正仿宋_GBK" w:cs="Times New Roman"/>
          <w:color w:val="auto"/>
          <w:sz w:val="32"/>
          <w:szCs w:val="32"/>
          <w:highlight w:val="none"/>
        </w:rPr>
        <w:t>总计各增加</w:t>
      </w:r>
      <w:r>
        <w:rPr>
          <w:rFonts w:hint="eastAsia" w:ascii="Times New Roman" w:hAnsi="Times New Roman" w:eastAsia="方正仿宋_GBK" w:cs="Times New Roman"/>
          <w:b/>
          <w:bCs/>
          <w:color w:val="auto"/>
          <w:sz w:val="32"/>
          <w:szCs w:val="32"/>
          <w:highlight w:val="none"/>
          <w:lang w:val="en-US" w:eastAsia="zh-CN"/>
        </w:rPr>
        <w:t>705.25</w:t>
      </w:r>
      <w:r>
        <w:rPr>
          <w:rFonts w:hint="default" w:ascii="Times New Roman" w:hAnsi="Times New Roman" w:eastAsia="方正仿宋_GBK" w:cs="Times New Roman"/>
          <w:color w:val="auto"/>
          <w:sz w:val="32"/>
          <w:szCs w:val="32"/>
          <w:highlight w:val="none"/>
        </w:rPr>
        <w:t>万元，增长</w:t>
      </w:r>
      <w:r>
        <w:rPr>
          <w:rFonts w:hint="eastAsia" w:ascii="Times New Roman" w:hAnsi="Times New Roman" w:eastAsia="方正仿宋_GBK" w:cs="Times New Roman"/>
          <w:b/>
          <w:bCs/>
          <w:color w:val="auto"/>
          <w:sz w:val="32"/>
          <w:szCs w:val="32"/>
          <w:highlight w:val="none"/>
          <w:lang w:val="en-US" w:eastAsia="zh-CN"/>
        </w:rPr>
        <w:t>19.1</w:t>
      </w:r>
      <w:r>
        <w:rPr>
          <w:rFonts w:hint="default" w:ascii="Times New Roman" w:hAnsi="Times New Roman" w:eastAsia="方正仿宋_GBK" w:cs="Times New Roman"/>
          <w:color w:val="auto"/>
          <w:sz w:val="32"/>
          <w:szCs w:val="32"/>
          <w:highlight w:val="none"/>
        </w:rPr>
        <w:t>%。主要变动原因是</w:t>
      </w:r>
      <w:r>
        <w:rPr>
          <w:rFonts w:hint="eastAsia" w:ascii="Times New Roman" w:hAnsi="Times New Roman" w:eastAsia="方正仿宋_GBK" w:cs="Times New Roman"/>
          <w:color w:val="auto"/>
          <w:sz w:val="32"/>
          <w:szCs w:val="32"/>
          <w:highlight w:val="none"/>
          <w:lang w:val="en-US" w:eastAsia="zh-CN"/>
        </w:rPr>
        <w:t>项目支出增加。</w:t>
      </w:r>
    </w:p>
    <w:p w14:paraId="186149F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（图1：</w:t>
      </w:r>
      <w:r>
        <w:rPr>
          <w:rFonts w:hint="default" w:ascii="Times New Roman" w:hAnsi="Times New Roman" w:eastAsia="方正仿宋_GBK" w:cs="Times New Roman"/>
          <w:color w:val="auto"/>
          <w:sz w:val="32"/>
          <w:szCs w:val="32"/>
          <w:highlight w:val="none"/>
          <w:lang w:eastAsia="zh-CN"/>
        </w:rPr>
        <w:t>收入</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支出</w:t>
      </w:r>
      <w:r>
        <w:rPr>
          <w:rFonts w:hint="default" w:ascii="Times New Roman" w:hAnsi="Times New Roman" w:eastAsia="方正仿宋_GBK" w:cs="Times New Roman"/>
          <w:color w:val="auto"/>
          <w:sz w:val="32"/>
          <w:szCs w:val="32"/>
          <w:highlight w:val="none"/>
        </w:rPr>
        <w:t>决算总计变动情况图）（柱状图）</w:t>
      </w:r>
    </w:p>
    <w:p w14:paraId="29FE423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z w:val="32"/>
          <w:szCs w:val="32"/>
        </w:rPr>
        <w:drawing>
          <wp:inline distT="0" distB="0" distL="114300" distR="114300">
            <wp:extent cx="4218305" cy="2252980"/>
            <wp:effectExtent l="4445" t="4445" r="6350" b="15875"/>
            <wp:docPr id="2" name="图表 2" descr="7b0a202020202263686172745265734964223a2022343636313237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1F366D">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32" w:name="_Toc15396604"/>
      <w:bookmarkStart w:id="33" w:name="_Toc13995"/>
      <w:bookmarkStart w:id="34" w:name="_Toc15377206"/>
      <w:r>
        <w:rPr>
          <w:rFonts w:hint="eastAsia" w:ascii="Times New Roman" w:hAnsi="Times New Roman" w:eastAsia="黑体"/>
          <w:color w:val="auto"/>
          <w:sz w:val="32"/>
          <w:szCs w:val="32"/>
          <w:highlight w:val="none"/>
          <w:lang w:eastAsia="zh-CN"/>
        </w:rPr>
        <w:t>二、收入决算情况说明</w:t>
      </w:r>
      <w:bookmarkEnd w:id="32"/>
      <w:bookmarkEnd w:id="33"/>
      <w:bookmarkEnd w:id="34"/>
    </w:p>
    <w:p w14:paraId="31F0FA0B">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2024</w:t>
      </w:r>
      <w:r>
        <w:rPr>
          <w:rFonts w:hint="default" w:ascii="Times New Roman" w:hAnsi="Times New Roman" w:eastAsia="方正仿宋_GBK" w:cs="Times New Roman"/>
          <w:color w:val="auto"/>
          <w:sz w:val="32"/>
          <w:szCs w:val="32"/>
          <w:highlight w:val="none"/>
          <w:lang w:eastAsia="zh-CN"/>
        </w:rPr>
        <w:t>年度本年收入合计</w:t>
      </w:r>
      <w:r>
        <w:rPr>
          <w:rFonts w:hint="default" w:ascii="Times New Roman" w:hAnsi="Times New Roman" w:eastAsia="方正仿宋_GBK" w:cs="Times New Roman"/>
          <w:b/>
          <w:bCs/>
          <w:sz w:val="32"/>
          <w:szCs w:val="32"/>
        </w:rPr>
        <w:t>4124.44</w:t>
      </w:r>
      <w:r>
        <w:rPr>
          <w:rFonts w:hint="default" w:ascii="Times New Roman" w:hAnsi="Times New Roman" w:eastAsia="方正仿宋_GBK" w:cs="Times New Roman"/>
          <w:sz w:val="32"/>
          <w:szCs w:val="32"/>
        </w:rPr>
        <w:t>万元，其中：一般公共预算财政拨款收入</w:t>
      </w:r>
      <w:r>
        <w:rPr>
          <w:rFonts w:hint="default" w:ascii="Times New Roman" w:hAnsi="Times New Roman" w:eastAsia="方正仿宋_GBK" w:cs="Times New Roman"/>
          <w:b/>
          <w:bCs/>
          <w:sz w:val="32"/>
          <w:szCs w:val="32"/>
        </w:rPr>
        <w:t>4124.44</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；政府性基金预算财政拨款收入</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；国有资本经营预算财政拨款收入</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；上级补助收入</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；事业收入</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；经营收入</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；附属单位上缴收入</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；其他收入</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w:t>
      </w:r>
    </w:p>
    <w:p w14:paraId="0DB25C3D">
      <w:pPr>
        <w:ind w:firstLine="800" w:firstLineChars="25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（图2：收入决算结构图）（饼状图）</w:t>
      </w:r>
    </w:p>
    <w:p w14:paraId="4D16EDCC">
      <w:pPr>
        <w:ind w:firstLine="825" w:firstLineChars="250"/>
        <w:rPr>
          <w:rFonts w:hint="eastAsia" w:ascii="Times New Roman" w:hAnsi="Times New Roman" w:eastAsia="仿宋_GB2312" w:cs="仿宋_GB2312"/>
          <w:color w:val="auto"/>
          <w:sz w:val="32"/>
          <w:szCs w:val="32"/>
          <w:highlight w:val="none"/>
          <w:lang w:eastAsia="zh-CN"/>
        </w:rPr>
      </w:pPr>
      <w:r>
        <w:rPr>
          <w:rFonts w:hint="eastAsia" w:ascii="方正仿宋_GB2312" w:eastAsia="方正仿宋_GB2312"/>
          <w:sz w:val="33"/>
          <w:szCs w:val="33"/>
        </w:rPr>
        <w:drawing>
          <wp:inline distT="0" distB="0" distL="114300" distR="114300">
            <wp:extent cx="4342130" cy="2305685"/>
            <wp:effectExtent l="0" t="0" r="1270" b="31115"/>
            <wp:docPr id="4" name="图表 4" descr="7b0a202020202263686172745265734964223a2022323034373131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D5E549">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bookmarkStart w:id="35" w:name="_Toc15396605"/>
      <w:bookmarkStart w:id="36" w:name="_Toc15377207"/>
      <w:bookmarkStart w:id="37" w:name="_Toc20682"/>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1"/>
          <w:rFonts w:hint="eastAsia" w:ascii="Times New Roman" w:hAnsi="Times New Roman" w:eastAsia="黑体"/>
          <w:b w:val="0"/>
          <w:color w:val="auto"/>
          <w:highlight w:val="none"/>
        </w:rPr>
        <w:t>出决算情况说明</w:t>
      </w:r>
      <w:bookmarkEnd w:id="35"/>
      <w:bookmarkEnd w:id="36"/>
      <w:bookmarkEnd w:id="37"/>
    </w:p>
    <w:p w14:paraId="37AA0FC3">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2024</w:t>
      </w:r>
      <w:r>
        <w:rPr>
          <w:rFonts w:hint="default" w:ascii="Times New Roman" w:hAnsi="Times New Roman" w:eastAsia="方正仿宋_GBK" w:cs="Times New Roman"/>
          <w:color w:val="auto"/>
          <w:sz w:val="32"/>
          <w:szCs w:val="32"/>
          <w:highlight w:val="none"/>
          <w:lang w:eastAsia="zh-CN"/>
        </w:rPr>
        <w:t>年度本年支出合计</w:t>
      </w:r>
      <w:r>
        <w:rPr>
          <w:rFonts w:hint="default" w:ascii="Times New Roman" w:hAnsi="Times New Roman" w:eastAsia="方正仿宋_GBK" w:cs="Times New Roman"/>
          <w:b/>
          <w:bCs/>
          <w:sz w:val="32"/>
          <w:szCs w:val="32"/>
        </w:rPr>
        <w:t>4398.24</w:t>
      </w:r>
      <w:r>
        <w:rPr>
          <w:rFonts w:hint="default" w:ascii="Times New Roman" w:hAnsi="Times New Roman" w:eastAsia="方正仿宋_GBK" w:cs="Times New Roman"/>
          <w:color w:val="auto"/>
          <w:sz w:val="32"/>
          <w:szCs w:val="32"/>
          <w:highlight w:val="none"/>
          <w:lang w:eastAsia="zh-CN"/>
        </w:rPr>
        <w:t>万元，其中：基本支出</w:t>
      </w:r>
      <w:r>
        <w:rPr>
          <w:rFonts w:hint="default" w:ascii="Times New Roman" w:hAnsi="Times New Roman" w:eastAsia="方正仿宋_GBK" w:cs="Times New Roman"/>
          <w:b/>
          <w:bCs/>
          <w:sz w:val="32"/>
          <w:szCs w:val="32"/>
        </w:rPr>
        <w:t>2492.51</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56.67</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；项目支出</w:t>
      </w:r>
      <w:r>
        <w:rPr>
          <w:rFonts w:hint="default" w:ascii="Times New Roman" w:hAnsi="Times New Roman" w:eastAsia="方正仿宋_GBK" w:cs="Times New Roman"/>
          <w:b/>
          <w:bCs/>
          <w:sz w:val="32"/>
          <w:szCs w:val="32"/>
        </w:rPr>
        <w:t>1905.7</w:t>
      </w:r>
      <w:r>
        <w:rPr>
          <w:rFonts w:hint="eastAsia" w:eastAsia="方正仿宋_GBK" w:cs="Times New Roman"/>
          <w:b/>
          <w:bCs/>
          <w:sz w:val="32"/>
          <w:szCs w:val="32"/>
          <w:lang w:val="en-US" w:eastAsia="zh-CN"/>
        </w:rPr>
        <w:t>4</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43.3</w:t>
      </w:r>
      <w:r>
        <w:rPr>
          <w:rFonts w:hint="eastAsia"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；上缴上级支出</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；经营支出</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；对附属单位补助支出</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万元，占</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sz w:val="32"/>
          <w:szCs w:val="32"/>
          <w:highlight w:val="none"/>
          <w:lang w:eastAsia="zh-CN"/>
        </w:rPr>
        <w:t>。</w:t>
      </w:r>
    </w:p>
    <w:p w14:paraId="2A6E55AF">
      <w:pPr>
        <w:ind w:firstLine="800" w:firstLineChars="25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（图3：支出决算结构图）（饼状图）</w:t>
      </w:r>
    </w:p>
    <w:p w14:paraId="195226BA">
      <w:pPr>
        <w:ind w:firstLine="825" w:firstLineChars="250"/>
        <w:rPr>
          <w:rFonts w:hint="eastAsia" w:ascii="Times New Roman" w:hAnsi="Times New Roman" w:eastAsia="仿宋_GB2312" w:cs="仿宋_GB2312"/>
          <w:color w:val="auto"/>
          <w:sz w:val="32"/>
          <w:szCs w:val="32"/>
          <w:highlight w:val="none"/>
          <w:lang w:eastAsia="zh-CN"/>
        </w:rPr>
      </w:pPr>
      <w:r>
        <w:rPr>
          <w:rFonts w:hint="eastAsia" w:ascii="方正仿宋_GB2312" w:eastAsia="方正仿宋_GB2312"/>
          <w:sz w:val="33"/>
          <w:szCs w:val="33"/>
        </w:rPr>
        <w:drawing>
          <wp:inline distT="0" distB="0" distL="114300" distR="114300">
            <wp:extent cx="4342130" cy="2305685"/>
            <wp:effectExtent l="0" t="0" r="1270" b="31115"/>
            <wp:docPr id="5" name="图表 5" descr="7b0a202020202263686172745265734964223a2022323034373131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D91B97">
      <w:pPr>
        <w:spacing w:line="600" w:lineRule="exact"/>
        <w:ind w:firstLine="640" w:firstLineChars="200"/>
        <w:outlineLvl w:val="1"/>
        <w:rPr>
          <w:rStyle w:val="31"/>
          <w:rFonts w:ascii="Times New Roman" w:hAnsi="Times New Roman" w:eastAsia="黑体"/>
          <w:b w:val="0"/>
          <w:color w:val="auto"/>
          <w:highlight w:val="none"/>
        </w:rPr>
      </w:pPr>
      <w:bookmarkStart w:id="38" w:name="_Toc31545"/>
      <w:bookmarkStart w:id="39" w:name="_Toc15377208"/>
      <w:bookmarkStart w:id="40" w:name="_Toc15396606"/>
      <w:r>
        <w:rPr>
          <w:rFonts w:hint="eastAsia" w:ascii="Times New Roman" w:hAnsi="Times New Roman" w:eastAsia="黑体"/>
          <w:color w:val="auto"/>
          <w:sz w:val="32"/>
          <w:szCs w:val="32"/>
          <w:highlight w:val="none"/>
        </w:rPr>
        <w:t>四、财</w:t>
      </w:r>
      <w:r>
        <w:rPr>
          <w:rStyle w:val="31"/>
          <w:rFonts w:hint="eastAsia" w:ascii="Times New Roman" w:hAnsi="Times New Roman" w:eastAsia="黑体"/>
          <w:b w:val="0"/>
          <w:color w:val="auto"/>
          <w:highlight w:val="none"/>
        </w:rPr>
        <w:t>政拨款收入支出决算总体情况说明</w:t>
      </w:r>
      <w:bookmarkEnd w:id="38"/>
      <w:bookmarkEnd w:id="39"/>
      <w:bookmarkEnd w:id="40"/>
    </w:p>
    <w:p w14:paraId="2EFDBB7C">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年度财政拨款收入、支出总计均为</w:t>
      </w:r>
      <w:r>
        <w:rPr>
          <w:rFonts w:hint="default" w:ascii="Times New Roman" w:hAnsi="Times New Roman" w:eastAsia="方正仿宋_GBK" w:cs="Times New Roman"/>
          <w:b/>
          <w:bCs/>
          <w:sz w:val="32"/>
          <w:szCs w:val="32"/>
        </w:rPr>
        <w:t>4398.24</w:t>
      </w:r>
      <w:r>
        <w:rPr>
          <w:rFonts w:hint="default" w:ascii="Times New Roman" w:hAnsi="Times New Roman" w:eastAsia="方正仿宋_GBK" w:cs="Times New Roman"/>
          <w:color w:val="auto"/>
          <w:kern w:val="2"/>
          <w:sz w:val="32"/>
          <w:szCs w:val="32"/>
          <w:highlight w:val="none"/>
          <w:lang w:val="en-US" w:eastAsia="zh-CN" w:bidi="ar-SA"/>
        </w:rPr>
        <w:t>万元。与</w:t>
      </w:r>
      <w:r>
        <w:rPr>
          <w:rFonts w:hint="default" w:ascii="Times New Roman" w:hAnsi="Times New Roman" w:eastAsia="方正仿宋_GBK" w:cs="Times New Roman"/>
          <w:b/>
          <w:bCs/>
          <w:color w:val="auto"/>
          <w:kern w:val="2"/>
          <w:sz w:val="32"/>
          <w:szCs w:val="32"/>
          <w:highlight w:val="none"/>
          <w:lang w:val="en-US" w:eastAsia="zh-CN" w:bidi="ar-SA"/>
        </w:rPr>
        <w:t>2023</w:t>
      </w:r>
      <w:r>
        <w:rPr>
          <w:rFonts w:hint="default" w:ascii="Times New Roman" w:hAnsi="Times New Roman" w:eastAsia="方正仿宋_GBK" w:cs="Times New Roman"/>
          <w:color w:val="auto"/>
          <w:kern w:val="2"/>
          <w:sz w:val="32"/>
          <w:szCs w:val="32"/>
          <w:highlight w:val="none"/>
          <w:lang w:val="en-US" w:eastAsia="zh-CN" w:bidi="ar-SA"/>
        </w:rPr>
        <w:t>年度相比，财政拨款收入总计、支出总计各增加</w:t>
      </w:r>
      <w:r>
        <w:rPr>
          <w:rFonts w:hint="eastAsia" w:ascii="Times New Roman" w:hAnsi="Times New Roman" w:eastAsia="方正仿宋_GBK" w:cs="Times New Roman"/>
          <w:b/>
          <w:bCs/>
          <w:color w:val="auto"/>
          <w:sz w:val="32"/>
          <w:szCs w:val="32"/>
          <w:highlight w:val="none"/>
          <w:lang w:val="en-US" w:eastAsia="zh-CN"/>
        </w:rPr>
        <w:t>705.25</w:t>
      </w:r>
      <w:r>
        <w:rPr>
          <w:rFonts w:hint="default" w:ascii="Times New Roman" w:hAnsi="Times New Roman" w:eastAsia="方正仿宋_GBK" w:cs="Times New Roman"/>
          <w:color w:val="auto"/>
          <w:kern w:val="2"/>
          <w:sz w:val="32"/>
          <w:szCs w:val="32"/>
          <w:highlight w:val="none"/>
          <w:lang w:val="en-US" w:eastAsia="zh-CN" w:bidi="ar-SA"/>
        </w:rPr>
        <w:t>万元，增长</w:t>
      </w:r>
      <w:r>
        <w:rPr>
          <w:rFonts w:hint="eastAsia" w:ascii="Times New Roman" w:hAnsi="Times New Roman" w:eastAsia="方正仿宋_GBK" w:cs="Times New Roman"/>
          <w:b/>
          <w:bCs/>
          <w:color w:val="auto"/>
          <w:kern w:val="2"/>
          <w:sz w:val="32"/>
          <w:szCs w:val="32"/>
          <w:highlight w:val="none"/>
          <w:lang w:val="en-US" w:eastAsia="zh-CN" w:bidi="ar-SA"/>
        </w:rPr>
        <w:t>19.1</w:t>
      </w: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。主要变动原因是</w:t>
      </w:r>
      <w:r>
        <w:rPr>
          <w:rFonts w:hint="eastAsia" w:ascii="Times New Roman" w:hAnsi="Times New Roman" w:eastAsia="方正仿宋_GBK" w:cs="Times New Roman"/>
          <w:color w:val="auto"/>
          <w:kern w:val="2"/>
          <w:sz w:val="32"/>
          <w:szCs w:val="32"/>
          <w:highlight w:val="none"/>
          <w:lang w:val="en-US" w:eastAsia="zh-CN" w:bidi="ar-SA"/>
        </w:rPr>
        <w:t>项目支出增加。</w:t>
      </w:r>
    </w:p>
    <w:p w14:paraId="197C4E62">
      <w:pPr>
        <w:spacing w:line="240" w:lineRule="auto"/>
        <w:ind w:firstLine="640" w:firstLineChars="20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（图4：财政拨款收、支决算总计变动情况）（柱状图）</w:t>
      </w:r>
    </w:p>
    <w:p w14:paraId="4CF7CC6A">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方正仿宋_GB2312" w:eastAsia="方正仿宋_GB2312"/>
          <w:sz w:val="33"/>
          <w:szCs w:val="33"/>
        </w:rPr>
        <w:drawing>
          <wp:inline distT="0" distB="0" distL="114300" distR="114300">
            <wp:extent cx="4060190" cy="2086610"/>
            <wp:effectExtent l="5080" t="4445" r="11430" b="17145"/>
            <wp:docPr id="6" name="图表 6" descr="7b0a202020202263686172745265734964223a2022343636313237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5C0088">
      <w:pPr>
        <w:spacing w:line="240" w:lineRule="auto"/>
        <w:ind w:firstLine="640" w:firstLineChars="200"/>
        <w:outlineLvl w:val="1"/>
        <w:rPr>
          <w:rStyle w:val="31"/>
          <w:rFonts w:ascii="Times New Roman" w:hAnsi="Times New Roman" w:eastAsia="黑体"/>
          <w:b w:val="0"/>
          <w:color w:val="auto"/>
          <w:highlight w:val="none"/>
        </w:rPr>
      </w:pPr>
      <w:bookmarkStart w:id="41" w:name="_Toc2043"/>
      <w:bookmarkStart w:id="42" w:name="_Toc15377209"/>
      <w:bookmarkStart w:id="43"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般公共预算财政拨款支出决算情况说明</w:t>
      </w:r>
      <w:bookmarkEnd w:id="41"/>
      <w:bookmarkEnd w:id="42"/>
      <w:bookmarkEnd w:id="43"/>
    </w:p>
    <w:p w14:paraId="4A7EA7A1">
      <w:pPr>
        <w:spacing w:line="240" w:lineRule="auto"/>
        <w:ind w:firstLine="643" w:firstLineChars="200"/>
        <w:outlineLvl w:val="9"/>
        <w:rPr>
          <w:rFonts w:hint="eastAsia" w:ascii="方正楷体_GBK" w:hAnsi="方正楷体_GBK" w:eastAsia="方正楷体_GBK" w:cs="方正楷体_GBK"/>
          <w:b/>
          <w:bCs w:val="0"/>
          <w:color w:val="auto"/>
          <w:sz w:val="32"/>
          <w:szCs w:val="32"/>
          <w:highlight w:val="none"/>
        </w:rPr>
      </w:pPr>
      <w:bookmarkStart w:id="44" w:name="_Toc15377210"/>
      <w:r>
        <w:rPr>
          <w:rFonts w:hint="eastAsia" w:ascii="方正楷体_GBK" w:hAnsi="方正楷体_GBK" w:eastAsia="方正楷体_GBK" w:cs="方正楷体_GBK"/>
          <w:b/>
          <w:bCs w:val="0"/>
          <w:color w:val="auto"/>
          <w:sz w:val="32"/>
          <w:szCs w:val="32"/>
          <w:highlight w:val="none"/>
        </w:rPr>
        <w:t>（一）一般公共预算财政拨款支出决算总体情况</w:t>
      </w:r>
      <w:bookmarkEnd w:id="44"/>
    </w:p>
    <w:p w14:paraId="6FA2A2DB">
      <w:pPr>
        <w:spacing w:line="240" w:lineRule="auto"/>
        <w:ind w:firstLine="640"/>
        <w:rPr>
          <w:rFonts w:hint="eastAsia"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年度一般公共预算财政拨款支出</w:t>
      </w:r>
      <w:r>
        <w:rPr>
          <w:rFonts w:hint="default" w:ascii="Times New Roman" w:hAnsi="Times New Roman" w:eastAsia="方正仿宋_GBK" w:cs="Times New Roman"/>
          <w:b/>
          <w:bCs/>
          <w:sz w:val="32"/>
          <w:szCs w:val="32"/>
        </w:rPr>
        <w:t>4398.24</w:t>
      </w:r>
      <w:r>
        <w:rPr>
          <w:rFonts w:hint="default" w:ascii="Times New Roman" w:hAnsi="Times New Roman" w:eastAsia="方正仿宋_GBK" w:cs="Times New Roman"/>
          <w:color w:val="auto"/>
          <w:kern w:val="2"/>
          <w:sz w:val="32"/>
          <w:szCs w:val="32"/>
          <w:highlight w:val="none"/>
          <w:lang w:val="en-US" w:eastAsia="zh-CN" w:bidi="ar-SA"/>
        </w:rPr>
        <w:t>万元，占本年支出合计的</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。与</w:t>
      </w:r>
      <w:r>
        <w:rPr>
          <w:rFonts w:hint="default" w:ascii="Times New Roman" w:hAnsi="Times New Roman" w:eastAsia="方正仿宋_GBK" w:cs="Times New Roman"/>
          <w:b/>
          <w:bCs/>
          <w:color w:val="auto"/>
          <w:kern w:val="2"/>
          <w:sz w:val="32"/>
          <w:szCs w:val="32"/>
          <w:highlight w:val="none"/>
          <w:lang w:val="en-US" w:eastAsia="zh-CN" w:bidi="ar-SA"/>
        </w:rPr>
        <w:t>2023</w:t>
      </w:r>
      <w:r>
        <w:rPr>
          <w:rFonts w:hint="default" w:ascii="Times New Roman" w:hAnsi="Times New Roman" w:eastAsia="方正仿宋_GBK" w:cs="Times New Roman"/>
          <w:color w:val="auto"/>
          <w:kern w:val="2"/>
          <w:sz w:val="32"/>
          <w:szCs w:val="32"/>
          <w:highlight w:val="none"/>
          <w:lang w:val="en-US" w:eastAsia="zh-CN" w:bidi="ar-SA"/>
        </w:rPr>
        <w:t>年度相比，一般公共预算财政拨款支出增加</w:t>
      </w:r>
      <w:r>
        <w:rPr>
          <w:rFonts w:hint="default" w:ascii="Times New Roman" w:hAnsi="Times New Roman" w:eastAsia="方正仿宋_GBK" w:cs="Times New Roman"/>
          <w:b/>
          <w:bCs/>
          <w:color w:val="auto"/>
          <w:sz w:val="32"/>
          <w:szCs w:val="32"/>
          <w:highlight w:val="none"/>
          <w:lang w:val="en-US" w:eastAsia="zh-CN"/>
        </w:rPr>
        <w:t>705.25</w:t>
      </w:r>
      <w:r>
        <w:rPr>
          <w:rFonts w:hint="default" w:ascii="Times New Roman" w:hAnsi="Times New Roman" w:eastAsia="方正仿宋_GBK" w:cs="Times New Roman"/>
          <w:color w:val="auto"/>
          <w:kern w:val="2"/>
          <w:sz w:val="32"/>
          <w:szCs w:val="32"/>
          <w:highlight w:val="none"/>
          <w:lang w:val="en-US" w:eastAsia="zh-CN" w:bidi="ar-SA"/>
        </w:rPr>
        <w:t>万元，增长</w:t>
      </w:r>
      <w:r>
        <w:rPr>
          <w:rFonts w:hint="default" w:ascii="Times New Roman" w:hAnsi="Times New Roman" w:eastAsia="方正仿宋_GBK" w:cs="Times New Roman"/>
          <w:b/>
          <w:bCs/>
          <w:color w:val="auto"/>
          <w:kern w:val="2"/>
          <w:sz w:val="32"/>
          <w:szCs w:val="32"/>
          <w:highlight w:val="none"/>
          <w:lang w:val="en-US" w:eastAsia="zh-CN" w:bidi="ar-SA"/>
        </w:rPr>
        <w:t>19.1%</w:t>
      </w:r>
      <w:r>
        <w:rPr>
          <w:rFonts w:hint="default" w:ascii="Times New Roman" w:hAnsi="Times New Roman" w:eastAsia="方正仿宋_GBK" w:cs="Times New Roman"/>
          <w:color w:val="auto"/>
          <w:kern w:val="2"/>
          <w:sz w:val="32"/>
          <w:szCs w:val="32"/>
          <w:highlight w:val="none"/>
          <w:lang w:val="en-US" w:eastAsia="zh-CN" w:bidi="ar-SA"/>
        </w:rPr>
        <w:t>。主要变动原因是</w:t>
      </w:r>
      <w:r>
        <w:rPr>
          <w:rFonts w:hint="eastAsia" w:ascii="Times New Roman" w:hAnsi="Times New Roman" w:eastAsia="方正仿宋_GBK" w:cs="Times New Roman"/>
          <w:color w:val="auto"/>
          <w:kern w:val="2"/>
          <w:sz w:val="32"/>
          <w:szCs w:val="32"/>
          <w:highlight w:val="none"/>
          <w:lang w:val="en-US" w:eastAsia="zh-CN" w:bidi="ar-SA"/>
        </w:rPr>
        <w:t>项目支出增加。</w:t>
      </w:r>
    </w:p>
    <w:p w14:paraId="71F84F12">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（图5：一般公共预算财政拨款支出决算变动情况）（柱状图）</w:t>
      </w:r>
    </w:p>
    <w:p w14:paraId="5AF4CF3B">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方正仿宋_GB2312" w:eastAsia="方正仿宋_GB2312"/>
          <w:sz w:val="33"/>
          <w:szCs w:val="33"/>
        </w:rPr>
        <w:drawing>
          <wp:inline distT="0" distB="0" distL="114300" distR="114300">
            <wp:extent cx="4131310" cy="2173605"/>
            <wp:effectExtent l="4445" t="4445" r="17145" b="6350"/>
            <wp:docPr id="7" name="图表 7" descr="7b0a202020202263686172745265734964223a2022343636313237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609A83E">
      <w:pPr>
        <w:spacing w:line="240" w:lineRule="auto"/>
        <w:ind w:firstLine="643" w:firstLineChars="200"/>
        <w:outlineLvl w:val="9"/>
        <w:rPr>
          <w:rFonts w:hint="eastAsia" w:ascii="方正楷体_GBK" w:hAnsi="方正楷体_GBK" w:eastAsia="方正楷体_GBK" w:cs="方正楷体_GBK"/>
          <w:b/>
          <w:bCs w:val="0"/>
          <w:color w:val="auto"/>
          <w:sz w:val="32"/>
          <w:szCs w:val="32"/>
          <w:highlight w:val="none"/>
        </w:rPr>
      </w:pPr>
      <w:bookmarkStart w:id="45" w:name="_Toc15377211"/>
      <w:r>
        <w:rPr>
          <w:rFonts w:hint="eastAsia" w:ascii="方正楷体_GBK" w:hAnsi="方正楷体_GBK" w:eastAsia="方正楷体_GBK" w:cs="方正楷体_GBK"/>
          <w:b/>
          <w:bCs w:val="0"/>
          <w:color w:val="auto"/>
          <w:sz w:val="32"/>
          <w:szCs w:val="32"/>
          <w:highlight w:val="none"/>
        </w:rPr>
        <w:t>（二）一般公共预算财政拨款支出决算结构情况</w:t>
      </w:r>
      <w:bookmarkEnd w:id="45"/>
    </w:p>
    <w:p w14:paraId="7648CD26">
      <w:pPr>
        <w:spacing w:line="600" w:lineRule="exact"/>
        <w:ind w:firstLine="640"/>
        <w:rPr>
          <w:rFonts w:hint="eastAsia" w:ascii="仿宋" w:hAnsi="仿宋" w:eastAsia="方正仿宋_GBK"/>
          <w:sz w:val="33"/>
          <w:szCs w:val="33"/>
          <w:lang w:val="en-US" w:eastAsia="zh-CN"/>
        </w:rPr>
      </w:pP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年度一般公共预算财政拨款支出</w:t>
      </w:r>
      <w:r>
        <w:rPr>
          <w:rFonts w:hint="default" w:ascii="Times New Roman" w:hAnsi="Times New Roman" w:eastAsia="方正仿宋_GBK" w:cs="Times New Roman"/>
          <w:b/>
          <w:bCs/>
          <w:sz w:val="32"/>
          <w:szCs w:val="32"/>
        </w:rPr>
        <w:t>4398.24</w:t>
      </w:r>
      <w:r>
        <w:rPr>
          <w:rFonts w:hint="default" w:ascii="Times New Roman" w:hAnsi="Times New Roman" w:eastAsia="方正仿宋_GBK" w:cs="Times New Roman"/>
          <w:color w:val="auto"/>
          <w:kern w:val="2"/>
          <w:sz w:val="32"/>
          <w:szCs w:val="32"/>
          <w:highlight w:val="none"/>
          <w:lang w:val="en-US" w:eastAsia="zh-CN" w:bidi="ar-SA"/>
        </w:rPr>
        <w:t>万元，主要用于以下方面：</w:t>
      </w:r>
      <w:r>
        <w:rPr>
          <w:rFonts w:eastAsia="方正仿宋_GBK"/>
          <w:b w:val="0"/>
          <w:bCs w:val="0"/>
          <w:sz w:val="33"/>
          <w:szCs w:val="33"/>
        </w:rPr>
        <w:t>一般公共服务支出</w:t>
      </w:r>
      <w:r>
        <w:rPr>
          <w:rFonts w:hint="eastAsia" w:eastAsia="方正仿宋_GBK"/>
          <w:b/>
          <w:bCs/>
          <w:sz w:val="33"/>
          <w:szCs w:val="33"/>
        </w:rPr>
        <w:t>3684.06</w:t>
      </w:r>
      <w:r>
        <w:rPr>
          <w:rFonts w:eastAsia="方正仿宋_GBK"/>
          <w:b w:val="0"/>
          <w:bCs w:val="0"/>
          <w:sz w:val="33"/>
          <w:szCs w:val="33"/>
        </w:rPr>
        <w:t>万元，占</w:t>
      </w:r>
      <w:r>
        <w:rPr>
          <w:rFonts w:hint="eastAsia" w:eastAsia="方正仿宋_GBK"/>
          <w:b/>
          <w:bCs/>
          <w:sz w:val="33"/>
          <w:szCs w:val="33"/>
        </w:rPr>
        <w:t>83.76</w:t>
      </w:r>
      <w:r>
        <w:rPr>
          <w:rFonts w:eastAsia="方正仿宋_GBK"/>
          <w:b/>
          <w:bCs/>
          <w:sz w:val="33"/>
          <w:szCs w:val="33"/>
        </w:rPr>
        <w:t>%</w:t>
      </w:r>
      <w:r>
        <w:rPr>
          <w:rFonts w:eastAsia="方正仿宋_GBK"/>
          <w:b w:val="0"/>
          <w:bCs w:val="0"/>
          <w:sz w:val="33"/>
          <w:szCs w:val="33"/>
        </w:rPr>
        <w:t>；教育支出</w:t>
      </w:r>
      <w:r>
        <w:rPr>
          <w:rFonts w:hint="eastAsia" w:eastAsia="方正仿宋_GBK"/>
          <w:b/>
          <w:bCs/>
          <w:sz w:val="33"/>
          <w:szCs w:val="33"/>
        </w:rPr>
        <w:t>0</w:t>
      </w:r>
      <w:r>
        <w:rPr>
          <w:rFonts w:eastAsia="方正仿宋_GBK"/>
          <w:b w:val="0"/>
          <w:bCs w:val="0"/>
          <w:sz w:val="33"/>
          <w:szCs w:val="33"/>
        </w:rPr>
        <w:t>万元，占</w:t>
      </w:r>
      <w:r>
        <w:rPr>
          <w:rFonts w:hint="eastAsia" w:eastAsia="方正仿宋_GBK"/>
          <w:b/>
          <w:bCs/>
          <w:sz w:val="33"/>
          <w:szCs w:val="33"/>
        </w:rPr>
        <w:t>0</w:t>
      </w:r>
      <w:r>
        <w:rPr>
          <w:rFonts w:eastAsia="方正仿宋_GBK"/>
          <w:b/>
          <w:bCs/>
          <w:sz w:val="33"/>
          <w:szCs w:val="33"/>
        </w:rPr>
        <w:t>%</w:t>
      </w:r>
      <w:r>
        <w:rPr>
          <w:rFonts w:eastAsia="方正仿宋_GBK"/>
          <w:b w:val="0"/>
          <w:bCs w:val="0"/>
          <w:sz w:val="33"/>
          <w:szCs w:val="33"/>
        </w:rPr>
        <w:t>；科学技术支出</w:t>
      </w:r>
      <w:r>
        <w:rPr>
          <w:rFonts w:hint="eastAsia" w:eastAsia="方正仿宋_GBK"/>
          <w:b/>
          <w:bCs/>
          <w:sz w:val="33"/>
          <w:szCs w:val="33"/>
        </w:rPr>
        <w:t>0</w:t>
      </w:r>
      <w:r>
        <w:rPr>
          <w:rFonts w:eastAsia="方正仿宋_GBK"/>
          <w:b w:val="0"/>
          <w:bCs w:val="0"/>
          <w:sz w:val="33"/>
          <w:szCs w:val="33"/>
        </w:rPr>
        <w:t>万元，占</w:t>
      </w:r>
      <w:r>
        <w:rPr>
          <w:rFonts w:hint="eastAsia" w:eastAsia="方正仿宋_GBK"/>
          <w:b w:val="0"/>
          <w:bCs w:val="0"/>
          <w:sz w:val="33"/>
          <w:szCs w:val="33"/>
        </w:rPr>
        <w:t>0</w:t>
      </w:r>
      <w:r>
        <w:rPr>
          <w:rFonts w:eastAsia="方正仿宋_GBK"/>
          <w:b w:val="0"/>
          <w:bCs w:val="0"/>
          <w:sz w:val="33"/>
          <w:szCs w:val="33"/>
        </w:rPr>
        <w:t>%；文化旅游体育与传媒支出</w:t>
      </w:r>
      <w:r>
        <w:rPr>
          <w:rFonts w:hint="eastAsia" w:eastAsia="方正仿宋_GBK"/>
          <w:b/>
          <w:bCs/>
          <w:sz w:val="33"/>
          <w:szCs w:val="33"/>
        </w:rPr>
        <w:t>0</w:t>
      </w:r>
      <w:r>
        <w:rPr>
          <w:rFonts w:eastAsia="方正仿宋_GBK"/>
          <w:b w:val="0"/>
          <w:bCs w:val="0"/>
          <w:sz w:val="33"/>
          <w:szCs w:val="33"/>
        </w:rPr>
        <w:t>万元，占</w:t>
      </w:r>
      <w:r>
        <w:rPr>
          <w:rFonts w:hint="eastAsia" w:eastAsia="方正仿宋_GBK"/>
          <w:b/>
          <w:bCs/>
          <w:sz w:val="33"/>
          <w:szCs w:val="33"/>
        </w:rPr>
        <w:t>0</w:t>
      </w:r>
      <w:r>
        <w:rPr>
          <w:rFonts w:eastAsia="方正仿宋_GBK"/>
          <w:b/>
          <w:bCs/>
          <w:sz w:val="33"/>
          <w:szCs w:val="33"/>
        </w:rPr>
        <w:t>%</w:t>
      </w:r>
      <w:r>
        <w:rPr>
          <w:rFonts w:eastAsia="方正仿宋_GBK"/>
          <w:b w:val="0"/>
          <w:bCs w:val="0"/>
          <w:sz w:val="33"/>
          <w:szCs w:val="33"/>
        </w:rPr>
        <w:t>；社会保障和就业支出</w:t>
      </w:r>
      <w:r>
        <w:rPr>
          <w:rFonts w:hint="eastAsia" w:eastAsia="方正仿宋_GBK"/>
          <w:b/>
          <w:bCs/>
          <w:sz w:val="33"/>
          <w:szCs w:val="33"/>
        </w:rPr>
        <w:t>399.81</w:t>
      </w:r>
      <w:r>
        <w:rPr>
          <w:rFonts w:eastAsia="方正仿宋_GBK"/>
          <w:b w:val="0"/>
          <w:bCs w:val="0"/>
          <w:sz w:val="33"/>
          <w:szCs w:val="33"/>
        </w:rPr>
        <w:t>万元，占</w:t>
      </w:r>
      <w:r>
        <w:rPr>
          <w:rFonts w:hint="eastAsia" w:eastAsia="方正仿宋_GBK"/>
          <w:b/>
          <w:bCs/>
          <w:sz w:val="33"/>
          <w:szCs w:val="33"/>
        </w:rPr>
        <w:t>9.09</w:t>
      </w:r>
      <w:r>
        <w:rPr>
          <w:rFonts w:eastAsia="方正仿宋_GBK"/>
          <w:b/>
          <w:bCs/>
          <w:sz w:val="33"/>
          <w:szCs w:val="33"/>
        </w:rPr>
        <w:t>%</w:t>
      </w:r>
      <w:r>
        <w:rPr>
          <w:rFonts w:eastAsia="方正仿宋_GBK"/>
          <w:b w:val="0"/>
          <w:bCs w:val="0"/>
          <w:sz w:val="33"/>
          <w:szCs w:val="33"/>
        </w:rPr>
        <w:t>；卫生健康支出</w:t>
      </w:r>
      <w:r>
        <w:rPr>
          <w:rFonts w:hint="eastAsia" w:eastAsia="方正仿宋_GBK"/>
          <w:b/>
          <w:bCs/>
          <w:sz w:val="33"/>
          <w:szCs w:val="33"/>
        </w:rPr>
        <w:t>140.72</w:t>
      </w:r>
      <w:r>
        <w:rPr>
          <w:rFonts w:eastAsia="方正仿宋_GBK"/>
          <w:b w:val="0"/>
          <w:bCs w:val="0"/>
          <w:sz w:val="33"/>
          <w:szCs w:val="33"/>
        </w:rPr>
        <w:t>万元，占</w:t>
      </w:r>
      <w:r>
        <w:rPr>
          <w:rFonts w:hint="eastAsia" w:eastAsia="方正仿宋_GBK"/>
          <w:b/>
          <w:bCs/>
          <w:sz w:val="33"/>
          <w:szCs w:val="33"/>
          <w:lang w:val="en-US" w:eastAsia="zh-CN"/>
        </w:rPr>
        <w:t>3.2</w:t>
      </w:r>
      <w:r>
        <w:rPr>
          <w:rFonts w:eastAsia="方正仿宋_GBK"/>
          <w:b/>
          <w:bCs/>
          <w:sz w:val="33"/>
          <w:szCs w:val="33"/>
        </w:rPr>
        <w:t>%</w:t>
      </w:r>
      <w:r>
        <w:rPr>
          <w:rFonts w:eastAsia="方正仿宋_GBK"/>
          <w:b w:val="0"/>
          <w:bCs w:val="0"/>
          <w:sz w:val="33"/>
          <w:szCs w:val="33"/>
        </w:rPr>
        <w:t>；住房保障支出</w:t>
      </w:r>
      <w:r>
        <w:rPr>
          <w:rFonts w:hint="eastAsia" w:eastAsia="方正仿宋_GBK"/>
          <w:b/>
          <w:bCs/>
          <w:sz w:val="33"/>
          <w:szCs w:val="33"/>
        </w:rPr>
        <w:t>173.65</w:t>
      </w:r>
      <w:r>
        <w:rPr>
          <w:rFonts w:eastAsia="方正仿宋_GBK"/>
          <w:b w:val="0"/>
          <w:bCs w:val="0"/>
          <w:sz w:val="33"/>
          <w:szCs w:val="33"/>
        </w:rPr>
        <w:t>万元，占</w:t>
      </w:r>
      <w:r>
        <w:rPr>
          <w:rFonts w:hint="eastAsia" w:eastAsia="方正仿宋_GBK"/>
          <w:b/>
          <w:bCs/>
          <w:sz w:val="33"/>
          <w:szCs w:val="33"/>
          <w:lang w:val="en-US" w:eastAsia="zh-CN"/>
        </w:rPr>
        <w:t>3.95</w:t>
      </w:r>
      <w:r>
        <w:rPr>
          <w:rFonts w:eastAsia="方正仿宋_GBK"/>
          <w:b/>
          <w:bCs/>
          <w:sz w:val="33"/>
          <w:szCs w:val="33"/>
        </w:rPr>
        <w:t>%</w:t>
      </w:r>
      <w:r>
        <w:rPr>
          <w:rFonts w:hint="eastAsia" w:eastAsia="方正仿宋_GBK"/>
          <w:b w:val="0"/>
          <w:bCs w:val="0"/>
          <w:sz w:val="33"/>
          <w:szCs w:val="33"/>
          <w:lang w:eastAsia="zh-CN"/>
        </w:rPr>
        <w:t>。</w:t>
      </w:r>
    </w:p>
    <w:p w14:paraId="468487D6">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（图6：一般公共预算财政拨款支出决算结构）（饼状图）</w:t>
      </w:r>
    </w:p>
    <w:p w14:paraId="7E8812C1">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方正仿宋_GB2312" w:eastAsia="方正仿宋_GB2312"/>
          <w:sz w:val="33"/>
          <w:szCs w:val="33"/>
        </w:rPr>
        <w:drawing>
          <wp:inline distT="0" distB="0" distL="114300" distR="114300">
            <wp:extent cx="4244975" cy="2347595"/>
            <wp:effectExtent l="0" t="0" r="9525" b="40005"/>
            <wp:docPr id="8" name="图表 8" descr="7b0a202020202263686172745265734964223a2022323034373131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B36713">
      <w:pPr>
        <w:spacing w:line="600" w:lineRule="exact"/>
        <w:ind w:firstLine="643" w:firstLineChars="200"/>
        <w:outlineLvl w:val="9"/>
        <w:rPr>
          <w:rFonts w:hint="eastAsia" w:ascii="方正楷体_GBK" w:hAnsi="方正楷体_GBK" w:eastAsia="方正楷体_GBK" w:cs="方正楷体_GBK"/>
          <w:b/>
          <w:bCs w:val="0"/>
          <w:color w:val="auto"/>
          <w:sz w:val="32"/>
          <w:szCs w:val="32"/>
          <w:highlight w:val="none"/>
        </w:rPr>
      </w:pPr>
      <w:bookmarkStart w:id="46" w:name="_Toc15377212"/>
      <w:r>
        <w:rPr>
          <w:rFonts w:hint="eastAsia" w:ascii="方正楷体_GBK" w:hAnsi="方正楷体_GBK" w:eastAsia="方正楷体_GBK" w:cs="方正楷体_GBK"/>
          <w:b/>
          <w:bCs w:val="0"/>
          <w:color w:val="auto"/>
          <w:sz w:val="32"/>
          <w:szCs w:val="32"/>
          <w:highlight w:val="none"/>
        </w:rPr>
        <w:t>（三）一般公共预算财政拨款支出决算具体情况</w:t>
      </w:r>
      <w:bookmarkEnd w:id="46"/>
    </w:p>
    <w:p w14:paraId="3055F0DD">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bookmarkStart w:id="47" w:name="_Toc15377444"/>
      <w:bookmarkStart w:id="48" w:name="_Toc15378460"/>
      <w:bookmarkStart w:id="49" w:name="_Toc15377213"/>
      <w:r>
        <w:rPr>
          <w:rFonts w:hint="default" w:ascii="Times New Roman" w:hAnsi="Times New Roman" w:eastAsia="方正仿宋_GBK" w:cs="Times New Roman"/>
          <w:b/>
          <w:bCs w:val="0"/>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年度一般公共预算财政拨款支出决算数为</w:t>
      </w:r>
      <w:r>
        <w:rPr>
          <w:rFonts w:hint="default" w:ascii="Times New Roman" w:hAnsi="Times New Roman" w:eastAsia="方正仿宋_GBK" w:cs="Times New Roman"/>
          <w:b/>
          <w:bCs w:val="0"/>
          <w:sz w:val="32"/>
          <w:szCs w:val="32"/>
        </w:rPr>
        <w:t>4398.24</w:t>
      </w:r>
      <w:r>
        <w:rPr>
          <w:rFonts w:hint="default" w:ascii="Times New Roman" w:hAnsi="Times New Roman" w:eastAsia="方正仿宋_GBK" w:cs="Times New Roman"/>
          <w:color w:val="auto"/>
          <w:kern w:val="2"/>
          <w:sz w:val="32"/>
          <w:szCs w:val="32"/>
          <w:highlight w:val="none"/>
          <w:lang w:val="en-US" w:eastAsia="zh-CN" w:bidi="ar-SA"/>
        </w:rPr>
        <w:t>，完成预算</w:t>
      </w:r>
      <w:r>
        <w:rPr>
          <w:rFonts w:hint="default" w:ascii="Times New Roman" w:hAnsi="Times New Roman" w:eastAsia="方正仿宋_GBK" w:cs="Times New Roman"/>
          <w:b/>
          <w:bCs w:val="0"/>
          <w:color w:val="auto"/>
          <w:kern w:val="2"/>
          <w:sz w:val="32"/>
          <w:szCs w:val="32"/>
          <w:highlight w:val="none"/>
          <w:lang w:val="en-US" w:eastAsia="zh-CN" w:bidi="ar-SA"/>
        </w:rPr>
        <w:t>100%</w:t>
      </w:r>
      <w:r>
        <w:rPr>
          <w:rFonts w:hint="default" w:ascii="Times New Roman" w:hAnsi="Times New Roman" w:eastAsia="方正仿宋_GBK" w:cs="Times New Roman"/>
          <w:color w:val="auto"/>
          <w:kern w:val="2"/>
          <w:sz w:val="32"/>
          <w:szCs w:val="32"/>
          <w:highlight w:val="none"/>
          <w:lang w:val="en-US" w:eastAsia="zh-CN" w:bidi="ar-SA"/>
        </w:rPr>
        <w:t>。其中：</w:t>
      </w:r>
      <w:bookmarkEnd w:id="47"/>
      <w:bookmarkEnd w:id="48"/>
      <w:bookmarkEnd w:id="49"/>
    </w:p>
    <w:p w14:paraId="3D1C7C47">
      <w:pPr>
        <w:spacing w:line="240" w:lineRule="auto"/>
        <w:ind w:firstLine="643" w:firstLineChars="200"/>
        <w:rPr>
          <w:rFonts w:hint="default" w:ascii="Times New Roman" w:hAnsi="Times New Roman" w:eastAsia="方正仿宋_GBK" w:cs="Times New Roman"/>
          <w:bCs/>
          <w:color w:val="C0504D"/>
          <w:sz w:val="32"/>
          <w:szCs w:val="32"/>
        </w:rPr>
      </w:pPr>
      <w:r>
        <w:rPr>
          <w:rFonts w:hint="default" w:ascii="Times New Roman" w:hAnsi="Times New Roman" w:eastAsia="方正仿宋_GBK" w:cs="Times New Roman"/>
          <w:b/>
          <w:kern w:val="0"/>
          <w:sz w:val="32"/>
          <w:szCs w:val="32"/>
        </w:rPr>
        <w:t>1</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color w:val="000000"/>
          <w:sz w:val="32"/>
          <w:szCs w:val="32"/>
        </w:rPr>
        <w:t>一般公共服务（类）纪检监察事务（款）行政运行（项）</w:t>
      </w:r>
      <w:r>
        <w:rPr>
          <w:rFonts w:hint="default" w:ascii="Times New Roman" w:hAnsi="Times New Roman" w:eastAsia="方正仿宋_GBK" w:cs="Times New Roman"/>
          <w:bCs/>
          <w:color w:val="000000"/>
          <w:sz w:val="32"/>
          <w:szCs w:val="32"/>
        </w:rPr>
        <w:t>:支出决算为</w:t>
      </w:r>
      <w:r>
        <w:rPr>
          <w:rFonts w:hint="eastAsia" w:ascii="Times New Roman" w:hAnsi="Times New Roman" w:eastAsia="方正仿宋_GBK" w:cs="Times New Roman"/>
          <w:b/>
          <w:bCs w:val="0"/>
          <w:color w:val="000000"/>
          <w:sz w:val="32"/>
          <w:szCs w:val="32"/>
          <w:lang w:val="en-US" w:eastAsia="zh-CN"/>
        </w:rPr>
        <w:t>1576.14</w:t>
      </w:r>
      <w:r>
        <w:rPr>
          <w:rFonts w:hint="default" w:ascii="Times New Roman" w:hAnsi="Times New Roman" w:eastAsia="方正仿宋_GBK" w:cs="Times New Roman"/>
          <w:bCs/>
          <w:color w:val="000000"/>
          <w:sz w:val="32"/>
          <w:szCs w:val="32"/>
        </w:rPr>
        <w:t>万元，</w:t>
      </w:r>
      <w:r>
        <w:rPr>
          <w:rFonts w:hint="default" w:ascii="Times New Roman" w:hAnsi="Times New Roman" w:eastAsia="方正仿宋_GBK" w:cs="Times New Roman"/>
          <w:bCs/>
          <w:sz w:val="32"/>
          <w:szCs w:val="32"/>
        </w:rPr>
        <w:t>完成预算</w:t>
      </w:r>
      <w:r>
        <w:rPr>
          <w:rFonts w:hint="default" w:ascii="Times New Roman" w:hAnsi="Times New Roman" w:eastAsia="方正仿宋_GBK" w:cs="Times New Roman"/>
          <w:b/>
          <w:bCs w:val="0"/>
          <w:sz w:val="32"/>
          <w:szCs w:val="32"/>
        </w:rPr>
        <w:t>100%</w:t>
      </w:r>
      <w:r>
        <w:rPr>
          <w:rFonts w:hint="default" w:ascii="Times New Roman" w:hAnsi="Times New Roman" w:eastAsia="方正仿宋_GBK" w:cs="Times New Roman"/>
          <w:bCs/>
          <w:sz w:val="32"/>
          <w:szCs w:val="32"/>
        </w:rPr>
        <w:t>，决算数与预算数持平。</w:t>
      </w:r>
    </w:p>
    <w:p w14:paraId="23DFF214">
      <w:pPr>
        <w:spacing w:line="240" w:lineRule="auto"/>
        <w:ind w:firstLine="630" w:firstLineChars="196"/>
        <w:rPr>
          <w:rFonts w:hint="default" w:ascii="Times New Roman" w:hAnsi="Times New Roman" w:eastAsia="方正仿宋_GBK" w:cs="Times New Roman"/>
          <w:bCs/>
          <w:sz w:val="32"/>
          <w:szCs w:val="32"/>
        </w:rPr>
      </w:pPr>
      <w:r>
        <w:rPr>
          <w:rFonts w:hint="default" w:ascii="Times New Roman" w:hAnsi="Times New Roman" w:eastAsia="方正仿宋_GBK" w:cs="Times New Roman"/>
          <w:b/>
          <w:kern w:val="0"/>
          <w:sz w:val="32"/>
          <w:szCs w:val="32"/>
        </w:rPr>
        <w:t>2</w:t>
      </w:r>
      <w:r>
        <w:rPr>
          <w:rFonts w:hint="default" w:ascii="Times New Roman" w:hAnsi="Times New Roman" w:eastAsia="方正仿宋_GBK" w:cs="Times New Roman"/>
          <w:b/>
          <w:sz w:val="32"/>
          <w:szCs w:val="32"/>
        </w:rPr>
        <w:t>．一般公共服务（类）纪检监察事务（款）一般行政管理事务（项）</w:t>
      </w:r>
      <w:r>
        <w:rPr>
          <w:rFonts w:hint="default" w:ascii="Times New Roman" w:hAnsi="Times New Roman" w:eastAsia="方正仿宋_GBK" w:cs="Times New Roman"/>
          <w:bCs/>
          <w:sz w:val="32"/>
          <w:szCs w:val="32"/>
        </w:rPr>
        <w:t>:支出决算数为</w:t>
      </w:r>
      <w:r>
        <w:rPr>
          <w:rFonts w:hint="default" w:ascii="Times New Roman" w:hAnsi="Times New Roman" w:eastAsia="方正仿宋_GBK" w:cs="Times New Roman"/>
          <w:b/>
          <w:bCs w:val="0"/>
          <w:sz w:val="32"/>
          <w:szCs w:val="32"/>
        </w:rPr>
        <w:t>318.52</w:t>
      </w:r>
      <w:r>
        <w:rPr>
          <w:rFonts w:hint="default" w:ascii="Times New Roman" w:hAnsi="Times New Roman" w:eastAsia="方正仿宋_GBK" w:cs="Times New Roman"/>
          <w:bCs/>
          <w:sz w:val="32"/>
          <w:szCs w:val="32"/>
        </w:rPr>
        <w:t>万元，完成预算</w:t>
      </w:r>
      <w:r>
        <w:rPr>
          <w:rFonts w:hint="default" w:ascii="Times New Roman" w:hAnsi="Times New Roman" w:eastAsia="方正仿宋_GBK" w:cs="Times New Roman"/>
          <w:b/>
          <w:bCs w:val="0"/>
          <w:sz w:val="32"/>
          <w:szCs w:val="32"/>
        </w:rPr>
        <w:t>100%</w:t>
      </w:r>
      <w:r>
        <w:rPr>
          <w:rFonts w:hint="default" w:ascii="Times New Roman" w:hAnsi="Times New Roman" w:eastAsia="方正仿宋_GBK" w:cs="Times New Roman"/>
          <w:bCs/>
          <w:sz w:val="32"/>
          <w:szCs w:val="32"/>
        </w:rPr>
        <w:t>，决算数与预算数持平。</w:t>
      </w:r>
    </w:p>
    <w:p w14:paraId="37DC839C">
      <w:pPr>
        <w:spacing w:line="240" w:lineRule="auto"/>
        <w:ind w:firstLine="630" w:firstLineChars="196"/>
        <w:rPr>
          <w:rFonts w:hint="default" w:ascii="Times New Roman" w:hAnsi="Times New Roman" w:eastAsia="方正仿宋_GBK" w:cs="Times New Roman"/>
          <w:bCs/>
          <w:sz w:val="32"/>
          <w:szCs w:val="32"/>
        </w:rPr>
      </w:pPr>
      <w:r>
        <w:rPr>
          <w:rFonts w:hint="default" w:ascii="Times New Roman" w:hAnsi="Times New Roman" w:eastAsia="方正仿宋_GBK" w:cs="Times New Roman"/>
          <w:b/>
          <w:kern w:val="0"/>
          <w:sz w:val="32"/>
          <w:szCs w:val="32"/>
        </w:rPr>
        <w:t>3</w:t>
      </w:r>
      <w:r>
        <w:rPr>
          <w:rFonts w:hint="default" w:ascii="Times New Roman" w:hAnsi="Times New Roman" w:eastAsia="方正仿宋_GBK" w:cs="Times New Roman"/>
          <w:b/>
          <w:sz w:val="32"/>
          <w:szCs w:val="32"/>
        </w:rPr>
        <w:t>．一般公共服务（类）纪检监察事务（款）大案要案查处（项）</w:t>
      </w:r>
      <w:r>
        <w:rPr>
          <w:rFonts w:hint="default" w:ascii="Times New Roman" w:hAnsi="Times New Roman" w:eastAsia="方正仿宋_GBK" w:cs="Times New Roman"/>
          <w:bCs/>
          <w:sz w:val="32"/>
          <w:szCs w:val="32"/>
        </w:rPr>
        <w:t>:支出决算数为</w:t>
      </w:r>
      <w:r>
        <w:rPr>
          <w:rFonts w:hint="default" w:ascii="Times New Roman" w:hAnsi="Times New Roman" w:eastAsia="方正仿宋_GBK" w:cs="Times New Roman"/>
          <w:b/>
          <w:bCs w:val="0"/>
          <w:sz w:val="32"/>
          <w:szCs w:val="32"/>
        </w:rPr>
        <w:t>454.36</w:t>
      </w:r>
      <w:r>
        <w:rPr>
          <w:rFonts w:hint="default" w:ascii="Times New Roman" w:hAnsi="Times New Roman" w:eastAsia="方正仿宋_GBK" w:cs="Times New Roman"/>
          <w:bCs/>
          <w:sz w:val="32"/>
          <w:szCs w:val="32"/>
        </w:rPr>
        <w:t>万元，完成预算</w:t>
      </w:r>
      <w:r>
        <w:rPr>
          <w:rFonts w:hint="default" w:ascii="Times New Roman" w:hAnsi="Times New Roman" w:eastAsia="方正仿宋_GBK" w:cs="Times New Roman"/>
          <w:b/>
          <w:bCs w:val="0"/>
          <w:sz w:val="32"/>
          <w:szCs w:val="32"/>
        </w:rPr>
        <w:t>100%</w:t>
      </w:r>
      <w:r>
        <w:rPr>
          <w:rFonts w:hint="default" w:ascii="Times New Roman" w:hAnsi="Times New Roman" w:eastAsia="方正仿宋_GBK" w:cs="Times New Roman"/>
          <w:bCs/>
          <w:sz w:val="32"/>
          <w:szCs w:val="32"/>
        </w:rPr>
        <w:t>，决算数与预算数持平。</w:t>
      </w:r>
    </w:p>
    <w:p w14:paraId="777ECD97">
      <w:pPr>
        <w:spacing w:line="240" w:lineRule="auto"/>
        <w:ind w:firstLine="630" w:firstLineChars="196"/>
        <w:rPr>
          <w:rFonts w:hint="default" w:ascii="Times New Roman" w:hAnsi="Times New Roman" w:eastAsia="方正仿宋_GBK" w:cs="Times New Roman"/>
          <w:bCs/>
          <w:sz w:val="32"/>
          <w:szCs w:val="32"/>
        </w:rPr>
      </w:pPr>
      <w:r>
        <w:rPr>
          <w:rFonts w:hint="default" w:ascii="Times New Roman" w:hAnsi="Times New Roman" w:eastAsia="方正仿宋_GBK" w:cs="Times New Roman"/>
          <w:b/>
          <w:kern w:val="0"/>
          <w:sz w:val="32"/>
          <w:szCs w:val="32"/>
        </w:rPr>
        <w:t>4</w:t>
      </w:r>
      <w:r>
        <w:rPr>
          <w:rFonts w:hint="default" w:ascii="Times New Roman" w:hAnsi="Times New Roman" w:eastAsia="方正仿宋_GBK" w:cs="Times New Roman"/>
          <w:b/>
          <w:sz w:val="32"/>
          <w:szCs w:val="32"/>
        </w:rPr>
        <w:t>．一般公共服务（类）纪检监察事务（款）巡视工作（项）</w:t>
      </w:r>
      <w:r>
        <w:rPr>
          <w:rFonts w:hint="default" w:ascii="Times New Roman" w:hAnsi="Times New Roman" w:eastAsia="方正仿宋_GBK" w:cs="Times New Roman"/>
          <w:bCs/>
          <w:sz w:val="32"/>
          <w:szCs w:val="32"/>
        </w:rPr>
        <w:t>:支出决算数为</w:t>
      </w:r>
      <w:r>
        <w:rPr>
          <w:rFonts w:hint="default" w:ascii="Times New Roman" w:hAnsi="Times New Roman" w:eastAsia="方正仿宋_GBK" w:cs="Times New Roman"/>
          <w:b/>
          <w:bCs w:val="0"/>
          <w:sz w:val="32"/>
          <w:szCs w:val="32"/>
        </w:rPr>
        <w:t>87.36</w:t>
      </w:r>
      <w:r>
        <w:rPr>
          <w:rFonts w:hint="default" w:ascii="Times New Roman" w:hAnsi="Times New Roman" w:eastAsia="方正仿宋_GBK" w:cs="Times New Roman"/>
          <w:bCs/>
          <w:sz w:val="32"/>
          <w:szCs w:val="32"/>
        </w:rPr>
        <w:t>万元，完成预算</w:t>
      </w:r>
      <w:r>
        <w:rPr>
          <w:rFonts w:hint="default" w:ascii="Times New Roman" w:hAnsi="Times New Roman" w:eastAsia="方正仿宋_GBK" w:cs="Times New Roman"/>
          <w:b/>
          <w:bCs w:val="0"/>
          <w:sz w:val="32"/>
          <w:szCs w:val="32"/>
        </w:rPr>
        <w:t>100%</w:t>
      </w:r>
      <w:r>
        <w:rPr>
          <w:rFonts w:hint="default" w:ascii="Times New Roman" w:hAnsi="Times New Roman" w:eastAsia="方正仿宋_GBK" w:cs="Times New Roman"/>
          <w:bCs/>
          <w:sz w:val="32"/>
          <w:szCs w:val="32"/>
        </w:rPr>
        <w:t>，决算数与预算数持平。</w:t>
      </w:r>
    </w:p>
    <w:p w14:paraId="61EFCF7A">
      <w:pPr>
        <w:spacing w:line="240" w:lineRule="auto"/>
        <w:ind w:firstLine="630" w:firstLineChars="196"/>
        <w:rPr>
          <w:rFonts w:hint="default" w:ascii="Times New Roman" w:hAnsi="Times New Roman" w:eastAsia="方正仿宋_GBK" w:cs="Times New Roman"/>
          <w:bCs/>
          <w:sz w:val="32"/>
          <w:szCs w:val="32"/>
        </w:rPr>
      </w:pPr>
      <w:r>
        <w:rPr>
          <w:rFonts w:hint="default" w:ascii="Times New Roman" w:hAnsi="Times New Roman" w:eastAsia="方正仿宋_GBK" w:cs="Times New Roman"/>
          <w:b/>
          <w:kern w:val="0"/>
          <w:sz w:val="32"/>
          <w:szCs w:val="32"/>
        </w:rPr>
        <w:t>5</w:t>
      </w:r>
      <w:r>
        <w:rPr>
          <w:rFonts w:hint="default" w:ascii="Times New Roman" w:hAnsi="Times New Roman" w:eastAsia="方正仿宋_GBK" w:cs="Times New Roman"/>
          <w:b/>
          <w:sz w:val="32"/>
          <w:szCs w:val="32"/>
        </w:rPr>
        <w:t>．一般公共服务（类）纪检监察事务（款）其他纪检监察事务支出（项）</w:t>
      </w:r>
      <w:r>
        <w:rPr>
          <w:rFonts w:hint="default" w:ascii="Times New Roman" w:hAnsi="Times New Roman" w:eastAsia="方正仿宋_GBK" w:cs="Times New Roman"/>
          <w:bCs/>
          <w:sz w:val="32"/>
          <w:szCs w:val="32"/>
        </w:rPr>
        <w:t>:支出决算数为</w:t>
      </w:r>
      <w:r>
        <w:rPr>
          <w:rFonts w:hint="default" w:ascii="Times New Roman" w:hAnsi="Times New Roman" w:eastAsia="方正仿宋_GBK" w:cs="Times New Roman"/>
          <w:b/>
          <w:bCs w:val="0"/>
          <w:sz w:val="32"/>
          <w:szCs w:val="32"/>
        </w:rPr>
        <w:t>1026.58</w:t>
      </w:r>
      <w:r>
        <w:rPr>
          <w:rFonts w:hint="default" w:ascii="Times New Roman" w:hAnsi="Times New Roman" w:eastAsia="方正仿宋_GBK" w:cs="Times New Roman"/>
          <w:bCs/>
          <w:sz w:val="32"/>
          <w:szCs w:val="32"/>
        </w:rPr>
        <w:t>万元，完成预算</w:t>
      </w:r>
      <w:r>
        <w:rPr>
          <w:rFonts w:hint="default" w:ascii="Times New Roman" w:hAnsi="Times New Roman" w:eastAsia="方正仿宋_GBK" w:cs="Times New Roman"/>
          <w:b/>
          <w:bCs w:val="0"/>
          <w:sz w:val="32"/>
          <w:szCs w:val="32"/>
        </w:rPr>
        <w:t>100%</w:t>
      </w:r>
      <w:r>
        <w:rPr>
          <w:rFonts w:hint="default" w:ascii="Times New Roman" w:hAnsi="Times New Roman" w:eastAsia="方正仿宋_GBK" w:cs="Times New Roman"/>
          <w:bCs/>
          <w:sz w:val="32"/>
          <w:szCs w:val="32"/>
        </w:rPr>
        <w:t>，决算数与预算数持平。</w:t>
      </w:r>
    </w:p>
    <w:p w14:paraId="1F4B635A">
      <w:pPr>
        <w:spacing w:line="240" w:lineRule="auto"/>
        <w:ind w:firstLine="630" w:firstLineChars="196"/>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32"/>
        </w:rPr>
        <w:t>6．一般公共服务（类）组织事务（款）其他组织事务支出（项）</w:t>
      </w:r>
      <w:r>
        <w:rPr>
          <w:rFonts w:hint="default" w:ascii="Times New Roman" w:hAnsi="Times New Roman" w:eastAsia="方正仿宋_GBK" w:cs="Times New Roman"/>
          <w:bCs/>
          <w:sz w:val="32"/>
          <w:szCs w:val="32"/>
        </w:rPr>
        <w:t>:支出决算数为</w:t>
      </w:r>
      <w:r>
        <w:rPr>
          <w:rFonts w:hint="default" w:ascii="Times New Roman" w:hAnsi="Times New Roman" w:eastAsia="方正仿宋_GBK" w:cs="Times New Roman"/>
          <w:b/>
          <w:bCs w:val="0"/>
          <w:sz w:val="32"/>
          <w:szCs w:val="32"/>
        </w:rPr>
        <w:t>2.48</w:t>
      </w:r>
      <w:r>
        <w:rPr>
          <w:rFonts w:hint="default" w:ascii="Times New Roman" w:hAnsi="Times New Roman" w:eastAsia="方正仿宋_GBK" w:cs="Times New Roman"/>
          <w:bCs/>
          <w:sz w:val="32"/>
          <w:szCs w:val="32"/>
        </w:rPr>
        <w:t>万元，完成预算</w:t>
      </w:r>
      <w:r>
        <w:rPr>
          <w:rFonts w:hint="default" w:ascii="Times New Roman" w:hAnsi="Times New Roman" w:eastAsia="方正仿宋_GBK" w:cs="Times New Roman"/>
          <w:b/>
          <w:bCs w:val="0"/>
          <w:sz w:val="32"/>
          <w:szCs w:val="32"/>
        </w:rPr>
        <w:t>100%</w:t>
      </w:r>
      <w:r>
        <w:rPr>
          <w:rFonts w:hint="default" w:ascii="Times New Roman" w:hAnsi="Times New Roman" w:eastAsia="方正仿宋_GBK" w:cs="Times New Roman"/>
          <w:bCs/>
          <w:sz w:val="32"/>
          <w:szCs w:val="32"/>
        </w:rPr>
        <w:t>，决算数与预算数持平。</w:t>
      </w:r>
    </w:p>
    <w:p w14:paraId="211B1CF9">
      <w:pPr>
        <w:spacing w:line="240" w:lineRule="auto"/>
        <w:ind w:firstLine="630" w:firstLineChars="196"/>
        <w:rPr>
          <w:rFonts w:hint="default" w:ascii="Times New Roman" w:hAnsi="Times New Roman" w:eastAsia="方正仿宋_GBK" w:cs="Times New Roman"/>
          <w:bCs/>
          <w:sz w:val="32"/>
          <w:szCs w:val="32"/>
        </w:rPr>
      </w:pPr>
      <w:r>
        <w:rPr>
          <w:rFonts w:hint="default" w:ascii="Times New Roman" w:hAnsi="Times New Roman" w:eastAsia="方正仿宋_GBK" w:cs="Times New Roman"/>
          <w:b/>
          <w:bCs/>
          <w:kern w:val="0"/>
          <w:sz w:val="32"/>
          <w:szCs w:val="32"/>
        </w:rPr>
        <w:t>7</w:t>
      </w:r>
      <w:r>
        <w:rPr>
          <w:rFonts w:hint="default" w:ascii="Times New Roman" w:hAnsi="Times New Roman" w:eastAsia="方正仿宋_GBK" w:cs="Times New Roman"/>
          <w:b/>
          <w:bCs/>
          <w:sz w:val="32"/>
          <w:szCs w:val="32"/>
        </w:rPr>
        <w:t>．社会保障和就业（类）行政事业单位养老支出（款）行政单位离退休（项）</w:t>
      </w:r>
      <w:r>
        <w:rPr>
          <w:rFonts w:hint="default" w:ascii="Times New Roman" w:hAnsi="Times New Roman" w:eastAsia="方正仿宋_GBK" w:cs="Times New Roman"/>
          <w:bCs/>
          <w:sz w:val="32"/>
          <w:szCs w:val="32"/>
        </w:rPr>
        <w:t>:支出决算数为</w:t>
      </w:r>
      <w:r>
        <w:rPr>
          <w:rFonts w:hint="default" w:ascii="Times New Roman" w:hAnsi="Times New Roman" w:eastAsia="方正仿宋_GBK" w:cs="Times New Roman"/>
          <w:b/>
          <w:bCs w:val="0"/>
          <w:sz w:val="32"/>
          <w:szCs w:val="32"/>
        </w:rPr>
        <w:t>172.51</w:t>
      </w:r>
      <w:r>
        <w:rPr>
          <w:rFonts w:hint="default" w:ascii="Times New Roman" w:hAnsi="Times New Roman" w:eastAsia="方正仿宋_GBK" w:cs="Times New Roman"/>
          <w:bCs/>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bCs/>
          <w:sz w:val="32"/>
          <w:szCs w:val="32"/>
        </w:rPr>
        <w:t>，决算数与预算数持平。</w:t>
      </w:r>
    </w:p>
    <w:p w14:paraId="305CD4F0">
      <w:pPr>
        <w:spacing w:line="240" w:lineRule="auto"/>
        <w:ind w:firstLine="643"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8</w:t>
      </w:r>
      <w:r>
        <w:rPr>
          <w:rFonts w:hint="default" w:ascii="Times New Roman" w:hAnsi="Times New Roman" w:eastAsia="方正仿宋_GBK" w:cs="Times New Roman"/>
          <w:b/>
          <w:bCs/>
          <w:sz w:val="32"/>
          <w:szCs w:val="32"/>
        </w:rPr>
        <w:t>．社会保障和就业（类）行政事业单位养老支出（款）机关事业单位基本养老保险缴费支出（项）</w:t>
      </w:r>
      <w:r>
        <w:rPr>
          <w:rFonts w:hint="default" w:ascii="Times New Roman" w:hAnsi="Times New Roman" w:eastAsia="方正仿宋_GBK" w:cs="Times New Roman"/>
          <w:sz w:val="32"/>
          <w:szCs w:val="32"/>
        </w:rPr>
        <w:t>:支出决算数为</w:t>
      </w:r>
      <w:r>
        <w:rPr>
          <w:rFonts w:hint="default" w:ascii="Times New Roman" w:hAnsi="Times New Roman" w:eastAsia="方正仿宋_GBK" w:cs="Times New Roman"/>
          <w:b/>
          <w:bCs/>
          <w:sz w:val="32"/>
          <w:szCs w:val="32"/>
        </w:rPr>
        <w:t>209.26</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33B27B58">
      <w:pPr>
        <w:spacing w:line="24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rPr>
        <w:t>9</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color w:val="000000"/>
          <w:sz w:val="32"/>
          <w:szCs w:val="32"/>
        </w:rPr>
        <w:t>社会保障和就业（类）</w:t>
      </w:r>
      <w:r>
        <w:rPr>
          <w:rFonts w:hint="default" w:ascii="Times New Roman" w:hAnsi="Times New Roman" w:eastAsia="方正仿宋_GBK" w:cs="Times New Roman"/>
          <w:b/>
          <w:bCs/>
          <w:sz w:val="32"/>
          <w:szCs w:val="32"/>
        </w:rPr>
        <w:t>行政事业单位养老支出</w:t>
      </w:r>
      <w:r>
        <w:rPr>
          <w:rFonts w:hint="default" w:ascii="Times New Roman" w:hAnsi="Times New Roman" w:eastAsia="方正仿宋_GBK" w:cs="Times New Roman"/>
          <w:b/>
          <w:bCs/>
          <w:color w:val="000000"/>
          <w:sz w:val="32"/>
          <w:szCs w:val="32"/>
        </w:rPr>
        <w:t>（款）机关事业单位职业年金缴费支出（项）</w:t>
      </w:r>
      <w:r>
        <w:rPr>
          <w:rFonts w:hint="default" w:ascii="Times New Roman" w:hAnsi="Times New Roman" w:eastAsia="方正仿宋_GBK" w:cs="Times New Roman"/>
          <w:color w:val="000000"/>
          <w:sz w:val="32"/>
          <w:szCs w:val="32"/>
        </w:rPr>
        <w:t>:支出决算数为</w:t>
      </w:r>
      <w:r>
        <w:rPr>
          <w:rFonts w:hint="default" w:ascii="Times New Roman" w:hAnsi="Times New Roman" w:eastAsia="方正仿宋_GBK" w:cs="Times New Roman"/>
          <w:b/>
          <w:bCs/>
          <w:color w:val="000000"/>
          <w:sz w:val="32"/>
          <w:szCs w:val="32"/>
        </w:rPr>
        <w:t>0.01</w:t>
      </w:r>
      <w:r>
        <w:rPr>
          <w:rFonts w:hint="default" w:ascii="Times New Roman" w:hAnsi="Times New Roman" w:eastAsia="方正仿宋_GBK" w:cs="Times New Roman"/>
          <w:color w:val="000000"/>
          <w:sz w:val="32"/>
          <w:szCs w:val="32"/>
        </w:rPr>
        <w:t>万元，完成预算</w:t>
      </w:r>
      <w:r>
        <w:rPr>
          <w:rFonts w:hint="default" w:ascii="Times New Roman" w:hAnsi="Times New Roman" w:eastAsia="方正仿宋_GBK" w:cs="Times New Roman"/>
          <w:b/>
          <w:bCs/>
          <w:color w:val="000000"/>
          <w:sz w:val="32"/>
          <w:szCs w:val="32"/>
        </w:rPr>
        <w:t>100%</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决算数与预算数持平。</w:t>
      </w:r>
    </w:p>
    <w:p w14:paraId="0752E607">
      <w:pPr>
        <w:spacing w:line="24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10</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bCs/>
          <w:sz w:val="32"/>
          <w:szCs w:val="32"/>
        </w:rPr>
        <w:t>社会保障和就业（类）人力资源和社会保障管理事务（款）其他人力资源和社会保障管理事务支出（项）</w:t>
      </w:r>
      <w:r>
        <w:rPr>
          <w:rFonts w:hint="default" w:ascii="Times New Roman" w:hAnsi="Times New Roman" w:eastAsia="方正仿宋_GBK" w:cs="Times New Roman"/>
          <w:sz w:val="32"/>
          <w:szCs w:val="32"/>
        </w:rPr>
        <w:t>:支出决算数为</w:t>
      </w:r>
      <w:r>
        <w:rPr>
          <w:rFonts w:hint="default" w:ascii="Times New Roman" w:hAnsi="Times New Roman" w:eastAsia="方正仿宋_GBK" w:cs="Times New Roman"/>
          <w:b/>
          <w:bCs/>
          <w:sz w:val="32"/>
          <w:szCs w:val="32"/>
        </w:rPr>
        <w:t>17.4</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36FE0624">
      <w:pPr>
        <w:spacing w:line="24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11</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bCs/>
          <w:sz w:val="32"/>
          <w:szCs w:val="32"/>
        </w:rPr>
        <w:t>社会保障和就业（类）社会福利（款）儿童福利（项）</w:t>
      </w:r>
      <w:r>
        <w:rPr>
          <w:rFonts w:hint="default" w:ascii="Times New Roman" w:hAnsi="Times New Roman" w:eastAsia="方正仿宋_GBK" w:cs="Times New Roman"/>
          <w:sz w:val="32"/>
          <w:szCs w:val="32"/>
        </w:rPr>
        <w:t>:支出决算数为</w:t>
      </w:r>
      <w:r>
        <w:rPr>
          <w:rFonts w:hint="default" w:ascii="Times New Roman" w:hAnsi="Times New Roman" w:eastAsia="方正仿宋_GBK" w:cs="Times New Roman"/>
          <w:b/>
          <w:bCs/>
          <w:sz w:val="32"/>
          <w:szCs w:val="32"/>
        </w:rPr>
        <w:t>0.63</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653597AF">
      <w:pPr>
        <w:spacing w:line="24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12</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bCs/>
          <w:sz w:val="32"/>
          <w:szCs w:val="32"/>
        </w:rPr>
        <w:t>卫生健康支出（类）行政事业单位医疗（款）行政单位医疗（项）</w:t>
      </w:r>
      <w:r>
        <w:rPr>
          <w:rFonts w:hint="default" w:ascii="Times New Roman" w:hAnsi="Times New Roman" w:eastAsia="方正仿宋_GBK" w:cs="Times New Roman"/>
          <w:sz w:val="32"/>
          <w:szCs w:val="32"/>
        </w:rPr>
        <w:t>:支出决算数为</w:t>
      </w:r>
      <w:r>
        <w:rPr>
          <w:rFonts w:hint="default" w:ascii="Times New Roman" w:hAnsi="Times New Roman" w:eastAsia="方正仿宋_GBK" w:cs="Times New Roman"/>
          <w:b/>
          <w:bCs/>
          <w:sz w:val="32"/>
          <w:szCs w:val="32"/>
        </w:rPr>
        <w:t>99.41</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03721F85">
      <w:pPr>
        <w:spacing w:line="240" w:lineRule="auto"/>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bCs/>
          <w:sz w:val="32"/>
          <w:szCs w:val="32"/>
        </w:rPr>
        <w:t>13</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bCs/>
          <w:sz w:val="32"/>
          <w:szCs w:val="32"/>
        </w:rPr>
        <w:t>卫生健康支出（类）行政事业单位医疗（款）公务员医疗补助（项）</w:t>
      </w:r>
      <w:r>
        <w:rPr>
          <w:rFonts w:hint="default" w:ascii="Times New Roman" w:hAnsi="Times New Roman" w:eastAsia="方正仿宋_GBK" w:cs="Times New Roman"/>
          <w:sz w:val="32"/>
          <w:szCs w:val="32"/>
        </w:rPr>
        <w:t>:支出决算数为</w:t>
      </w:r>
      <w:r>
        <w:rPr>
          <w:rFonts w:hint="default" w:ascii="Times New Roman" w:hAnsi="Times New Roman" w:eastAsia="方正仿宋_GBK" w:cs="Times New Roman"/>
          <w:b/>
          <w:bCs/>
          <w:sz w:val="32"/>
          <w:szCs w:val="32"/>
        </w:rPr>
        <w:t>11.41</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20A02776">
      <w:pPr>
        <w:spacing w:line="240" w:lineRule="auto"/>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14</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bCs/>
          <w:sz w:val="32"/>
          <w:szCs w:val="32"/>
        </w:rPr>
        <w:t>卫生健康支出（类）行政事业单位医疗（款）其他行政事业单位医疗支出（项）</w:t>
      </w:r>
      <w:r>
        <w:rPr>
          <w:rFonts w:hint="default" w:ascii="Times New Roman" w:hAnsi="Times New Roman" w:eastAsia="方正仿宋_GBK" w:cs="Times New Roman"/>
          <w:sz w:val="32"/>
          <w:szCs w:val="32"/>
        </w:rPr>
        <w:t>:支出决算数为</w:t>
      </w:r>
      <w:r>
        <w:rPr>
          <w:rFonts w:hint="eastAsia" w:ascii="Times New Roman" w:hAnsi="Times New Roman" w:eastAsia="方正仿宋_GBK" w:cs="Times New Roman"/>
          <w:b/>
          <w:bCs/>
          <w:sz w:val="32"/>
          <w:szCs w:val="32"/>
          <w:lang w:val="en-US" w:eastAsia="zh-CN"/>
        </w:rPr>
        <w:t>14.3</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0616A654">
      <w:pPr>
        <w:spacing w:line="240" w:lineRule="auto"/>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bCs/>
          <w:sz w:val="32"/>
          <w:szCs w:val="32"/>
        </w:rPr>
        <w:t>15</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bCs/>
          <w:sz w:val="32"/>
          <w:szCs w:val="32"/>
        </w:rPr>
        <w:t>卫生健康支出（类）其他卫生健康支出（款）其他卫生健康支出（项）</w:t>
      </w:r>
      <w:r>
        <w:rPr>
          <w:rFonts w:hint="default" w:ascii="Times New Roman" w:hAnsi="Times New Roman" w:eastAsia="方正仿宋_GBK" w:cs="Times New Roman"/>
          <w:sz w:val="32"/>
          <w:szCs w:val="32"/>
        </w:rPr>
        <w:t>:支出决算数为</w:t>
      </w:r>
      <w:r>
        <w:rPr>
          <w:rFonts w:hint="default" w:ascii="Times New Roman" w:hAnsi="Times New Roman" w:eastAsia="方正仿宋_GBK" w:cs="Times New Roman"/>
          <w:b/>
          <w:bCs/>
          <w:sz w:val="32"/>
          <w:szCs w:val="32"/>
        </w:rPr>
        <w:t>0.81</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113B0A66">
      <w:pPr>
        <w:spacing w:line="240" w:lineRule="auto"/>
        <w:ind w:firstLine="643" w:firstLineChars="200"/>
        <w:rPr>
          <w:rFonts w:hint="default" w:ascii="Times New Roman" w:hAnsi="Times New Roman" w:eastAsia="方正仿宋_GBK" w:cs="Times New Roman"/>
          <w:b/>
          <w:sz w:val="32"/>
          <w:szCs w:val="32"/>
        </w:rPr>
      </w:pPr>
      <w:r>
        <w:rPr>
          <w:rFonts w:hint="eastAsia" w:ascii="Times New Roman" w:hAnsi="Times New Roman" w:eastAsia="方正仿宋_GBK" w:cs="Times New Roman"/>
          <w:b/>
          <w:bCs/>
          <w:sz w:val="32"/>
          <w:szCs w:val="32"/>
          <w:lang w:val="en-US" w:eastAsia="zh-CN"/>
        </w:rPr>
        <w:t>16</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bCs/>
          <w:sz w:val="32"/>
          <w:szCs w:val="32"/>
        </w:rPr>
        <w:t>住房保障支出（类）住房改革支出（款）住房公积金（项）</w:t>
      </w:r>
      <w:r>
        <w:rPr>
          <w:rFonts w:hint="default" w:ascii="Times New Roman" w:hAnsi="Times New Roman" w:eastAsia="方正仿宋_GBK" w:cs="Times New Roman"/>
          <w:sz w:val="32"/>
          <w:szCs w:val="32"/>
        </w:rPr>
        <w:t>:支出决算数为</w:t>
      </w:r>
      <w:r>
        <w:rPr>
          <w:rFonts w:hint="default" w:ascii="Times New Roman" w:hAnsi="Times New Roman" w:eastAsia="方正仿宋_GBK" w:cs="Times New Roman"/>
          <w:b/>
          <w:bCs/>
          <w:sz w:val="32"/>
          <w:szCs w:val="32"/>
        </w:rPr>
        <w:t>173.65</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7488AE9B">
      <w:pPr>
        <w:spacing w:line="240" w:lineRule="auto"/>
        <w:ind w:firstLine="643"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b/>
          <w:kern w:val="0"/>
          <w:sz w:val="32"/>
          <w:szCs w:val="32"/>
          <w:lang w:val="en-US" w:eastAsia="zh-CN"/>
        </w:rPr>
        <w:t>17</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bCs/>
          <w:sz w:val="32"/>
          <w:szCs w:val="32"/>
        </w:rPr>
        <w:t>一般公共服务（类）纪检监察事务（款）事业运行（项）</w:t>
      </w:r>
      <w:r>
        <w:rPr>
          <w:rFonts w:hint="default" w:ascii="Times New Roman" w:hAnsi="Times New Roman" w:eastAsia="方正仿宋_GBK" w:cs="Times New Roman"/>
          <w:sz w:val="32"/>
          <w:szCs w:val="32"/>
        </w:rPr>
        <w:t>:支出决算数为</w:t>
      </w:r>
      <w:r>
        <w:rPr>
          <w:rFonts w:hint="default" w:ascii="Times New Roman" w:hAnsi="Times New Roman" w:eastAsia="方正仿宋_GBK" w:cs="Times New Roman"/>
          <w:b/>
          <w:bCs/>
          <w:sz w:val="32"/>
          <w:szCs w:val="32"/>
        </w:rPr>
        <w:t>218.62</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0488C4C3">
      <w:pPr>
        <w:spacing w:line="240" w:lineRule="auto"/>
        <w:ind w:firstLine="643"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方正仿宋_GBK" w:cs="Times New Roman"/>
          <w:b/>
          <w:kern w:val="0"/>
          <w:sz w:val="32"/>
          <w:szCs w:val="32"/>
          <w:lang w:val="en-US" w:eastAsia="zh-CN"/>
        </w:rPr>
        <w:t>18</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bCs/>
          <w:sz w:val="32"/>
          <w:szCs w:val="32"/>
        </w:rPr>
        <w:t>卫生健康支出</w:t>
      </w:r>
      <w:r>
        <w:rPr>
          <w:rStyle w:val="20"/>
          <w:rFonts w:hint="default" w:ascii="Times New Roman" w:hAnsi="Times New Roman" w:eastAsia="方正仿宋_GBK" w:cs="Times New Roman"/>
          <w:bCs/>
          <w:sz w:val="32"/>
          <w:szCs w:val="32"/>
        </w:rPr>
        <w:t>（类）行政事业单位医疗（款）事业单位医疗（项）:</w:t>
      </w:r>
      <w:r>
        <w:rPr>
          <w:rStyle w:val="20"/>
          <w:rFonts w:hint="default" w:ascii="Times New Roman" w:hAnsi="Times New Roman" w:eastAsia="方正仿宋_GBK" w:cs="Times New Roman"/>
          <w:b w:val="0"/>
          <w:bCs/>
          <w:sz w:val="32"/>
          <w:szCs w:val="32"/>
        </w:rPr>
        <w:t>支出决算为</w:t>
      </w:r>
      <w:r>
        <w:rPr>
          <w:rStyle w:val="20"/>
          <w:rFonts w:hint="default" w:ascii="Times New Roman" w:hAnsi="Times New Roman" w:eastAsia="方正仿宋_GBK" w:cs="Times New Roman"/>
          <w:b/>
          <w:bCs/>
          <w:sz w:val="32"/>
          <w:szCs w:val="32"/>
        </w:rPr>
        <w:t>14.79</w:t>
      </w:r>
      <w:r>
        <w:rPr>
          <w:rStyle w:val="20"/>
          <w:rFonts w:hint="default" w:ascii="Times New Roman" w:hAnsi="Times New Roman" w:eastAsia="方正仿宋_GBK" w:cs="Times New Roman"/>
          <w:b w:val="0"/>
          <w:bCs/>
          <w:sz w:val="32"/>
          <w:szCs w:val="32"/>
        </w:rPr>
        <w:t>万元，</w:t>
      </w:r>
      <w:r>
        <w:rPr>
          <w:rFonts w:hint="default" w:ascii="Times New Roman" w:hAnsi="Times New Roman" w:eastAsia="方正仿宋_GBK" w:cs="Times New Roman"/>
          <w:sz w:val="32"/>
          <w:szCs w:val="32"/>
        </w:rPr>
        <w:t>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，决算数与预算数持平。</w:t>
      </w:r>
    </w:p>
    <w:p w14:paraId="4671D9BE">
      <w:pPr>
        <w:tabs>
          <w:tab w:val="right" w:pos="8306"/>
        </w:tabs>
        <w:spacing w:line="600" w:lineRule="exact"/>
        <w:ind w:firstLine="640"/>
        <w:outlineLvl w:val="1"/>
        <w:rPr>
          <w:rStyle w:val="31"/>
          <w:rFonts w:ascii="Times New Roman" w:hAnsi="Times New Roman"/>
          <w:color w:val="auto"/>
          <w:highlight w:val="none"/>
        </w:rPr>
      </w:pPr>
      <w:bookmarkStart w:id="50" w:name="_Toc6710"/>
      <w:bookmarkStart w:id="51" w:name="_Toc15377214"/>
      <w:bookmarkStart w:id="52" w:name="_Toc15396608"/>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般公共预算财政拨款基本支出决算情况说明</w:t>
      </w:r>
      <w:bookmarkEnd w:id="50"/>
      <w:bookmarkEnd w:id="51"/>
      <w:bookmarkEnd w:id="52"/>
      <w:r>
        <w:rPr>
          <w:rStyle w:val="31"/>
          <w:rFonts w:ascii="Times New Roman" w:hAnsi="Times New Roman" w:eastAsia="黑体"/>
          <w:b w:val="0"/>
          <w:color w:val="auto"/>
          <w:highlight w:val="none"/>
        </w:rPr>
        <w:tab/>
      </w:r>
    </w:p>
    <w:p w14:paraId="512CF5FA">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2024年度一般公共预算财政拨款基本支出</w:t>
      </w:r>
      <w:r>
        <w:rPr>
          <w:rFonts w:hint="default" w:ascii="Times New Roman" w:hAnsi="Times New Roman" w:eastAsia="方正仿宋_GBK" w:cs="Times New Roman"/>
          <w:b/>
          <w:bCs/>
          <w:sz w:val="32"/>
          <w:szCs w:val="32"/>
        </w:rPr>
        <w:t>2492.51</w:t>
      </w:r>
      <w:r>
        <w:rPr>
          <w:rFonts w:hint="default" w:ascii="Times New Roman" w:hAnsi="Times New Roman" w:eastAsia="方正仿宋_GBK" w:cs="Times New Roman"/>
          <w:color w:val="auto"/>
          <w:kern w:val="2"/>
          <w:sz w:val="32"/>
          <w:szCs w:val="32"/>
          <w:highlight w:val="none"/>
          <w:lang w:val="en-US" w:eastAsia="zh-CN" w:bidi="ar-SA"/>
        </w:rPr>
        <w:t>万元，其中：</w:t>
      </w:r>
    </w:p>
    <w:p w14:paraId="1F7974BE">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人员经费</w:t>
      </w:r>
      <w:r>
        <w:rPr>
          <w:rFonts w:hint="default" w:ascii="Times New Roman" w:hAnsi="Times New Roman" w:eastAsia="方正仿宋_GBK" w:cs="Times New Roman"/>
          <w:b/>
          <w:bCs/>
          <w:sz w:val="32"/>
          <w:szCs w:val="32"/>
        </w:rPr>
        <w:t>2175.03</w:t>
      </w:r>
      <w:r>
        <w:rPr>
          <w:rFonts w:hint="default" w:ascii="Times New Roman" w:hAnsi="Times New Roman" w:eastAsia="方正仿宋_GBK" w:cs="Times New Roman"/>
          <w:color w:val="auto"/>
          <w:kern w:val="2"/>
          <w:sz w:val="32"/>
          <w:szCs w:val="32"/>
          <w:highlight w:val="none"/>
          <w:lang w:val="en-US" w:eastAsia="zh-CN" w:bidi="ar-SA"/>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方正仿宋_GBK" w:cs="Times New Roman"/>
          <w:color w:val="auto"/>
          <w:kern w:val="2"/>
          <w:sz w:val="32"/>
          <w:szCs w:val="32"/>
          <w:highlight w:val="none"/>
          <w:lang w:val="en-US" w:eastAsia="zh-CN" w:bidi="ar-SA"/>
        </w:rPr>
        <w:br w:type="textWrapping"/>
      </w:r>
      <w:r>
        <w:rPr>
          <w:rFonts w:hint="default" w:ascii="Times New Roman" w:hAnsi="Times New Roman" w:eastAsia="方正仿宋_GBK" w:cs="Times New Roman"/>
          <w:color w:val="auto"/>
          <w:kern w:val="2"/>
          <w:sz w:val="32"/>
          <w:szCs w:val="32"/>
          <w:highlight w:val="none"/>
          <w:lang w:val="en-US" w:eastAsia="zh-CN" w:bidi="ar-SA"/>
        </w:rPr>
        <w:t>　　公用经费</w:t>
      </w:r>
      <w:r>
        <w:rPr>
          <w:rFonts w:hint="default" w:ascii="Times New Roman" w:hAnsi="Times New Roman" w:eastAsia="方正仿宋_GBK" w:cs="Times New Roman"/>
          <w:b/>
          <w:bCs/>
          <w:sz w:val="32"/>
          <w:szCs w:val="32"/>
        </w:rPr>
        <w:t>317.47</w:t>
      </w:r>
      <w:r>
        <w:rPr>
          <w:rFonts w:hint="default" w:ascii="Times New Roman" w:hAnsi="Times New Roman" w:eastAsia="方正仿宋_GBK" w:cs="Times New Roman"/>
          <w:color w:val="auto"/>
          <w:kern w:val="2"/>
          <w:sz w:val="32"/>
          <w:szCs w:val="32"/>
          <w:highlight w:val="none"/>
          <w:lang w:val="en-US" w:eastAsia="zh-CN" w:bidi="ar-SA"/>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55489EBA">
      <w:pPr>
        <w:spacing w:line="240" w:lineRule="auto"/>
        <w:ind w:firstLine="640"/>
        <w:outlineLvl w:val="1"/>
        <w:rPr>
          <w:rStyle w:val="31"/>
          <w:rFonts w:ascii="Times New Roman" w:hAnsi="Times New Roman" w:eastAsia="黑体"/>
          <w:b w:val="0"/>
          <w:color w:val="auto"/>
          <w:highlight w:val="none"/>
        </w:rPr>
      </w:pPr>
      <w:bookmarkStart w:id="53" w:name="_Toc15377215"/>
      <w:bookmarkStart w:id="54" w:name="_Toc25585"/>
      <w:bookmarkStart w:id="55" w:name="_Toc15396609"/>
      <w:r>
        <w:rPr>
          <w:rFonts w:hint="eastAsia" w:ascii="Times New Roman" w:hAnsi="Times New Roman" w:eastAsia="黑体"/>
          <w:color w:val="auto"/>
          <w:sz w:val="32"/>
          <w:szCs w:val="32"/>
          <w:highlight w:val="none"/>
        </w:rPr>
        <w:t>七、</w:t>
      </w:r>
      <w:r>
        <w:rPr>
          <w:rStyle w:val="31"/>
          <w:rFonts w:hint="eastAsia" w:ascii="Times New Roman" w:hAnsi="Times New Roman" w:eastAsia="黑体"/>
          <w:b w:val="0"/>
          <w:color w:val="auto"/>
          <w:highlight w:val="none"/>
        </w:rPr>
        <w:t>财政拨款</w:t>
      </w:r>
      <w:r>
        <w:rPr>
          <w:rStyle w:val="31"/>
          <w:rFonts w:hint="eastAsia" w:ascii="Times New Roman" w:hAnsi="Times New Roman" w:eastAsia="黑体"/>
          <w:color w:val="auto"/>
          <w:highlight w:val="none"/>
        </w:rPr>
        <w:t>“</w:t>
      </w:r>
      <w:r>
        <w:rPr>
          <w:rStyle w:val="31"/>
          <w:rFonts w:hint="eastAsia" w:ascii="Times New Roman" w:hAnsi="Times New Roman" w:eastAsia="黑体"/>
          <w:b w:val="0"/>
          <w:color w:val="auto"/>
          <w:highlight w:val="none"/>
        </w:rPr>
        <w:t>三公”经费支出决算情况说明</w:t>
      </w:r>
      <w:bookmarkEnd w:id="53"/>
      <w:bookmarkEnd w:id="54"/>
      <w:bookmarkEnd w:id="55"/>
    </w:p>
    <w:p w14:paraId="771A3D57">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56" w:name="_Toc15377216"/>
      <w:r>
        <w:rPr>
          <w:rFonts w:hint="eastAsia" w:ascii="方正楷体_GBK" w:hAnsi="方正楷体_GBK" w:eastAsia="方正楷体_GBK" w:cs="方正楷体_GBK"/>
          <w:b/>
          <w:color w:val="auto"/>
          <w:sz w:val="32"/>
          <w:szCs w:val="32"/>
          <w:highlight w:val="none"/>
        </w:rPr>
        <w:t>（一）“三公”经费财政拨款支出决算总体情况说明</w:t>
      </w:r>
      <w:bookmarkEnd w:id="56"/>
    </w:p>
    <w:p w14:paraId="0DEDC3AB">
      <w:pPr>
        <w:spacing w:line="240" w:lineRule="auto"/>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2024年度“三公”经费财政拨款支出决算为</w:t>
      </w:r>
      <w:r>
        <w:rPr>
          <w:rFonts w:hint="default" w:ascii="Times New Roman" w:hAnsi="Times New Roman" w:eastAsia="方正仿宋_GBK" w:cs="Times New Roman"/>
          <w:b/>
          <w:bCs/>
          <w:sz w:val="32"/>
          <w:szCs w:val="32"/>
        </w:rPr>
        <w:t>25.57</w:t>
      </w:r>
      <w:r>
        <w:rPr>
          <w:rFonts w:hint="default" w:ascii="Times New Roman" w:hAnsi="Times New Roman" w:eastAsia="方正仿宋_GBK" w:cs="Times New Roman"/>
          <w:color w:val="auto"/>
          <w:kern w:val="2"/>
          <w:sz w:val="32"/>
          <w:szCs w:val="32"/>
          <w:highlight w:val="none"/>
          <w:lang w:val="en-US" w:eastAsia="zh-CN" w:bidi="ar-SA"/>
        </w:rPr>
        <w:t>万元，完成预算</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，较上年度减少</w:t>
      </w:r>
      <w:r>
        <w:rPr>
          <w:rFonts w:hint="default" w:ascii="Times New Roman" w:hAnsi="Times New Roman" w:eastAsia="方正仿宋_GBK" w:cs="Times New Roman"/>
          <w:b/>
          <w:bCs/>
          <w:color w:val="auto"/>
          <w:kern w:val="2"/>
          <w:sz w:val="32"/>
          <w:szCs w:val="32"/>
          <w:highlight w:val="none"/>
          <w:lang w:val="en-US" w:eastAsia="zh-CN" w:bidi="ar-SA"/>
        </w:rPr>
        <w:t>1.32</w:t>
      </w:r>
      <w:r>
        <w:rPr>
          <w:rFonts w:hint="default" w:ascii="Times New Roman" w:hAnsi="Times New Roman" w:eastAsia="方正仿宋_GBK" w:cs="Times New Roman"/>
          <w:color w:val="auto"/>
          <w:kern w:val="2"/>
          <w:sz w:val="32"/>
          <w:szCs w:val="32"/>
          <w:highlight w:val="none"/>
          <w:lang w:val="en-US" w:eastAsia="zh-CN" w:bidi="ar-SA"/>
        </w:rPr>
        <w:t>万元，下降</w:t>
      </w:r>
      <w:r>
        <w:rPr>
          <w:rFonts w:hint="default" w:ascii="Times New Roman" w:hAnsi="Times New Roman" w:eastAsia="方正仿宋_GBK" w:cs="Times New Roman"/>
          <w:b/>
          <w:bCs/>
          <w:color w:val="auto"/>
          <w:kern w:val="2"/>
          <w:sz w:val="32"/>
          <w:szCs w:val="32"/>
          <w:highlight w:val="none"/>
          <w:lang w:val="en-US" w:eastAsia="zh-CN" w:bidi="ar-SA"/>
        </w:rPr>
        <w:t>4.91%</w:t>
      </w:r>
      <w:r>
        <w:rPr>
          <w:rFonts w:hint="default" w:ascii="Times New Roman" w:hAnsi="Times New Roman" w:eastAsia="方正仿宋_GBK" w:cs="Times New Roman"/>
          <w:color w:val="auto"/>
          <w:kern w:val="2"/>
          <w:sz w:val="32"/>
          <w:szCs w:val="32"/>
          <w:highlight w:val="none"/>
          <w:lang w:val="en-US" w:eastAsia="zh-CN" w:bidi="ar-SA"/>
        </w:rPr>
        <w:t>。决算数</w:t>
      </w:r>
      <w:r>
        <w:rPr>
          <w:rFonts w:hint="eastAsia" w:ascii="Times New Roman" w:hAnsi="Times New Roman" w:eastAsia="方正仿宋_GBK" w:cs="Times New Roman"/>
          <w:color w:val="auto"/>
          <w:kern w:val="2"/>
          <w:sz w:val="32"/>
          <w:szCs w:val="32"/>
          <w:highlight w:val="none"/>
          <w:lang w:val="en-US" w:eastAsia="zh-CN" w:bidi="ar-SA"/>
        </w:rPr>
        <w:t>等于</w:t>
      </w:r>
      <w:r>
        <w:rPr>
          <w:rFonts w:hint="default" w:ascii="Times New Roman" w:hAnsi="Times New Roman" w:eastAsia="方正仿宋_GBK" w:cs="Times New Roman"/>
          <w:color w:val="auto"/>
          <w:kern w:val="2"/>
          <w:sz w:val="32"/>
          <w:szCs w:val="32"/>
          <w:highlight w:val="none"/>
          <w:lang w:val="en-US" w:eastAsia="zh-CN" w:bidi="ar-SA"/>
        </w:rPr>
        <w:t>预算数</w:t>
      </w:r>
      <w:r>
        <w:rPr>
          <w:rFonts w:hint="eastAsia" w:ascii="Times New Roman" w:hAnsi="Times New Roman" w:eastAsia="方正仿宋_GBK" w:cs="Times New Roman"/>
          <w:color w:val="auto"/>
          <w:kern w:val="2"/>
          <w:sz w:val="32"/>
          <w:szCs w:val="32"/>
          <w:highlight w:val="none"/>
          <w:lang w:val="en-US" w:eastAsia="zh-CN" w:bidi="ar-SA"/>
        </w:rPr>
        <w:t>。</w:t>
      </w:r>
    </w:p>
    <w:p w14:paraId="6BAD9A5A">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57" w:name="_Toc15377217"/>
      <w:r>
        <w:rPr>
          <w:rFonts w:hint="eastAsia" w:ascii="方正楷体_GBK" w:hAnsi="方正楷体_GBK" w:eastAsia="方正楷体_GBK" w:cs="方正楷体_GBK"/>
          <w:b/>
          <w:color w:val="auto"/>
          <w:sz w:val="32"/>
          <w:szCs w:val="32"/>
          <w:highlight w:val="none"/>
        </w:rPr>
        <w:t>（二）“三公”经费财政拨款支出决算具体情况说明</w:t>
      </w:r>
      <w:bookmarkEnd w:id="57"/>
    </w:p>
    <w:p w14:paraId="672EF9C9">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年度“三公”经费财政拨款支出决算中，因公出国（境）费支出决算</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kern w:val="2"/>
          <w:sz w:val="32"/>
          <w:szCs w:val="32"/>
          <w:highlight w:val="none"/>
          <w:lang w:val="en-US" w:eastAsia="zh-CN" w:bidi="ar-SA"/>
        </w:rPr>
        <w:t>万元，占</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；公务用车购置及运行维护费支出决算</w:t>
      </w:r>
      <w:r>
        <w:rPr>
          <w:rFonts w:hint="default" w:ascii="Times New Roman" w:hAnsi="Times New Roman" w:eastAsia="方正仿宋_GBK" w:cs="Times New Roman"/>
          <w:b/>
          <w:bCs/>
          <w:sz w:val="32"/>
          <w:szCs w:val="32"/>
        </w:rPr>
        <w:t>23.16</w:t>
      </w:r>
      <w:r>
        <w:rPr>
          <w:rFonts w:hint="default" w:ascii="Times New Roman" w:hAnsi="Times New Roman" w:eastAsia="方正仿宋_GBK" w:cs="Times New Roman"/>
          <w:color w:val="auto"/>
          <w:kern w:val="2"/>
          <w:sz w:val="32"/>
          <w:szCs w:val="32"/>
          <w:highlight w:val="none"/>
          <w:lang w:val="en-US" w:eastAsia="zh-CN" w:bidi="ar-SA"/>
        </w:rPr>
        <w:t>万元，占</w:t>
      </w:r>
      <w:r>
        <w:rPr>
          <w:rFonts w:hint="default" w:ascii="Times New Roman" w:hAnsi="Times New Roman" w:eastAsia="方正仿宋_GBK" w:cs="Times New Roman"/>
          <w:b/>
          <w:bCs/>
          <w:color w:val="auto"/>
          <w:kern w:val="2"/>
          <w:sz w:val="32"/>
          <w:szCs w:val="32"/>
          <w:highlight w:val="none"/>
          <w:lang w:val="en-US" w:eastAsia="zh-CN" w:bidi="ar-SA"/>
        </w:rPr>
        <w:t>90.57%</w:t>
      </w:r>
      <w:r>
        <w:rPr>
          <w:rFonts w:hint="default" w:ascii="Times New Roman" w:hAnsi="Times New Roman" w:eastAsia="方正仿宋_GBK" w:cs="Times New Roman"/>
          <w:color w:val="auto"/>
          <w:kern w:val="2"/>
          <w:sz w:val="32"/>
          <w:szCs w:val="32"/>
          <w:highlight w:val="none"/>
          <w:lang w:val="en-US" w:eastAsia="zh-CN" w:bidi="ar-SA"/>
        </w:rPr>
        <w:t>；公务接待费支出决算</w:t>
      </w:r>
      <w:r>
        <w:rPr>
          <w:rFonts w:hint="default" w:ascii="Times New Roman" w:hAnsi="Times New Roman" w:eastAsia="方正仿宋_GBK" w:cs="Times New Roman"/>
          <w:b/>
          <w:bCs/>
          <w:sz w:val="32"/>
          <w:szCs w:val="32"/>
        </w:rPr>
        <w:t>2.41</w:t>
      </w:r>
      <w:r>
        <w:rPr>
          <w:rFonts w:hint="default" w:ascii="Times New Roman" w:hAnsi="Times New Roman" w:eastAsia="方正仿宋_GBK" w:cs="Times New Roman"/>
          <w:color w:val="auto"/>
          <w:kern w:val="2"/>
          <w:sz w:val="32"/>
          <w:szCs w:val="32"/>
          <w:highlight w:val="none"/>
          <w:lang w:val="en-US" w:eastAsia="zh-CN" w:bidi="ar-SA"/>
        </w:rPr>
        <w:t>万元，占</w:t>
      </w:r>
      <w:r>
        <w:rPr>
          <w:rFonts w:hint="default" w:ascii="Times New Roman" w:hAnsi="Times New Roman" w:eastAsia="方正仿宋_GBK" w:cs="Times New Roman"/>
          <w:b/>
          <w:bCs/>
          <w:color w:val="auto"/>
          <w:kern w:val="2"/>
          <w:sz w:val="32"/>
          <w:szCs w:val="32"/>
          <w:highlight w:val="none"/>
          <w:lang w:val="en-US" w:eastAsia="zh-CN" w:bidi="ar-SA"/>
        </w:rPr>
        <w:t>9.43%</w:t>
      </w:r>
      <w:r>
        <w:rPr>
          <w:rFonts w:hint="default" w:ascii="Times New Roman" w:hAnsi="Times New Roman" w:eastAsia="方正仿宋_GBK" w:cs="Times New Roman"/>
          <w:color w:val="auto"/>
          <w:kern w:val="2"/>
          <w:sz w:val="32"/>
          <w:szCs w:val="32"/>
          <w:highlight w:val="none"/>
          <w:lang w:val="en-US" w:eastAsia="zh-CN" w:bidi="ar-SA"/>
        </w:rPr>
        <w:t>。具体情况如下：</w:t>
      </w:r>
    </w:p>
    <w:p w14:paraId="0CA04C7C">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（图7：“三公”经费财政拨款支出结构）（饼状图）</w:t>
      </w:r>
    </w:p>
    <w:p w14:paraId="344E2738">
      <w:pPr>
        <w:pStyle w:val="16"/>
        <w:rPr>
          <w:rFonts w:hint="eastAsia"/>
          <w:lang w:val="en-US" w:eastAsia="zh-CN"/>
        </w:rPr>
      </w:pPr>
      <w:r>
        <w:rPr>
          <w:rFonts w:hint="eastAsia" w:eastAsia="仿宋"/>
        </w:rPr>
        <w:drawing>
          <wp:inline distT="0" distB="0" distL="114300" distR="114300">
            <wp:extent cx="4192270" cy="1797685"/>
            <wp:effectExtent l="0" t="0" r="11430" b="31115"/>
            <wp:docPr id="1" name="图表 1" descr="7b0a202020202263686172745265734964223a2022323034373131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A4A2CA">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1.因公出国（境）经费支出0万元，完成预算0%。</w:t>
      </w:r>
      <w:r>
        <w:rPr>
          <w:rFonts w:hint="default" w:ascii="Times New Roman" w:hAnsi="Times New Roman" w:eastAsia="方正仿宋_GBK" w:cs="Times New Roman"/>
          <w:color w:val="auto"/>
          <w:kern w:val="2"/>
          <w:sz w:val="32"/>
          <w:szCs w:val="32"/>
          <w:highlight w:val="none"/>
          <w:lang w:val="en-US" w:eastAsia="zh-CN" w:bidi="ar-SA"/>
        </w:rPr>
        <w:t>全年安排因公出国（境）团组</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kern w:val="2"/>
          <w:sz w:val="32"/>
          <w:szCs w:val="32"/>
          <w:highlight w:val="none"/>
          <w:lang w:val="en-US" w:eastAsia="zh-CN" w:bidi="ar-SA"/>
        </w:rPr>
        <w:t>次，出国（境）</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kern w:val="2"/>
          <w:sz w:val="32"/>
          <w:szCs w:val="32"/>
          <w:highlight w:val="none"/>
          <w:lang w:val="en-US" w:eastAsia="zh-CN" w:bidi="ar-SA"/>
        </w:rPr>
        <w:t>人。因公出国（境）支出决算比</w:t>
      </w:r>
      <w:r>
        <w:rPr>
          <w:rFonts w:hint="default" w:ascii="Times New Roman" w:hAnsi="Times New Roman" w:eastAsia="方正仿宋_GBK" w:cs="Times New Roman"/>
          <w:b/>
          <w:bCs/>
          <w:color w:val="auto"/>
          <w:kern w:val="2"/>
          <w:sz w:val="32"/>
          <w:szCs w:val="32"/>
          <w:highlight w:val="none"/>
          <w:lang w:val="en-US" w:eastAsia="zh-CN" w:bidi="ar-SA"/>
        </w:rPr>
        <w:t>2023</w:t>
      </w:r>
      <w:r>
        <w:rPr>
          <w:rFonts w:hint="default" w:ascii="Times New Roman" w:hAnsi="Times New Roman" w:eastAsia="方正仿宋_GBK" w:cs="Times New Roman"/>
          <w:color w:val="auto"/>
          <w:kern w:val="2"/>
          <w:sz w:val="32"/>
          <w:szCs w:val="32"/>
          <w:highlight w:val="none"/>
          <w:lang w:val="en-US" w:eastAsia="zh-CN" w:bidi="ar-SA"/>
        </w:rPr>
        <w:t>年增加/减少</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万元，增长/下降</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。主要原因是无因公出国（境）支出。</w:t>
      </w:r>
    </w:p>
    <w:p w14:paraId="10354067">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2.公务用车购置及运行维护费支出23.16万元，完成预算100%。</w:t>
      </w:r>
      <w:r>
        <w:rPr>
          <w:rFonts w:hint="default" w:ascii="Times New Roman" w:hAnsi="Times New Roman" w:eastAsia="方正仿宋_GBK" w:cs="Times New Roman"/>
          <w:color w:val="auto"/>
          <w:kern w:val="2"/>
          <w:sz w:val="32"/>
          <w:szCs w:val="32"/>
          <w:highlight w:val="none"/>
          <w:lang w:val="en-US" w:eastAsia="zh-CN" w:bidi="ar-SA"/>
        </w:rPr>
        <w:t>公务用车购置及运行维护费支出决算比</w:t>
      </w:r>
      <w:r>
        <w:rPr>
          <w:rFonts w:hint="default" w:ascii="Times New Roman" w:hAnsi="Times New Roman" w:eastAsia="方正仿宋_GBK" w:cs="Times New Roman"/>
          <w:b/>
          <w:bCs/>
          <w:color w:val="auto"/>
          <w:kern w:val="2"/>
          <w:sz w:val="32"/>
          <w:szCs w:val="32"/>
          <w:highlight w:val="none"/>
          <w:lang w:val="en-US" w:eastAsia="zh-CN" w:bidi="ar-SA"/>
        </w:rPr>
        <w:t>2023</w:t>
      </w:r>
      <w:r>
        <w:rPr>
          <w:rFonts w:hint="default" w:ascii="Times New Roman" w:hAnsi="Times New Roman" w:eastAsia="方正仿宋_GBK" w:cs="Times New Roman"/>
          <w:color w:val="auto"/>
          <w:kern w:val="2"/>
          <w:sz w:val="32"/>
          <w:szCs w:val="32"/>
          <w:highlight w:val="none"/>
          <w:lang w:val="en-US" w:eastAsia="zh-CN" w:bidi="ar-SA"/>
        </w:rPr>
        <w:t>年度减少</w:t>
      </w:r>
      <w:r>
        <w:rPr>
          <w:rFonts w:hint="default" w:ascii="Times New Roman" w:hAnsi="Times New Roman" w:eastAsia="方正仿宋_GBK" w:cs="Times New Roman"/>
          <w:b/>
          <w:bCs/>
          <w:color w:val="auto"/>
          <w:kern w:val="2"/>
          <w:sz w:val="32"/>
          <w:szCs w:val="32"/>
          <w:highlight w:val="none"/>
          <w:lang w:val="en-US" w:eastAsia="zh-CN" w:bidi="ar-SA"/>
        </w:rPr>
        <w:t>1.33</w:t>
      </w:r>
      <w:r>
        <w:rPr>
          <w:rFonts w:hint="default" w:ascii="Times New Roman" w:hAnsi="Times New Roman" w:eastAsia="方正仿宋_GBK" w:cs="Times New Roman"/>
          <w:color w:val="auto"/>
          <w:kern w:val="2"/>
          <w:sz w:val="32"/>
          <w:szCs w:val="32"/>
          <w:highlight w:val="none"/>
          <w:lang w:val="en-US" w:eastAsia="zh-CN" w:bidi="ar-SA"/>
        </w:rPr>
        <w:t>万元，下降</w:t>
      </w:r>
      <w:r>
        <w:rPr>
          <w:rFonts w:hint="default" w:ascii="Times New Roman" w:hAnsi="Times New Roman" w:eastAsia="方正仿宋_GBK" w:cs="Times New Roman"/>
          <w:b/>
          <w:bCs/>
          <w:color w:val="auto"/>
          <w:kern w:val="2"/>
          <w:sz w:val="32"/>
          <w:szCs w:val="32"/>
          <w:highlight w:val="none"/>
          <w:lang w:val="en-US" w:eastAsia="zh-CN" w:bidi="ar-SA"/>
        </w:rPr>
        <w:t>5.43%</w:t>
      </w:r>
      <w:r>
        <w:rPr>
          <w:rFonts w:hint="default" w:ascii="Times New Roman" w:hAnsi="Times New Roman" w:eastAsia="方正仿宋_GBK" w:cs="Times New Roman"/>
          <w:color w:val="auto"/>
          <w:kern w:val="2"/>
          <w:sz w:val="32"/>
          <w:szCs w:val="32"/>
          <w:highlight w:val="none"/>
          <w:lang w:val="en-US" w:eastAsia="zh-CN" w:bidi="ar-SA"/>
        </w:rPr>
        <w:t>。主要原因是公务用车运行维护费支出减少。</w:t>
      </w:r>
    </w:p>
    <w:p w14:paraId="4158B3A6">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其中：公务用车购置支出</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万元。全年按规定更新购置公务用车</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辆，其中：轿车</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辆、金额</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万元，越野车</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辆、金额</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万元，载客汽车</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辆、金额</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万元。截至</w:t>
      </w: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w:t>
      </w:r>
      <w:r>
        <w:rPr>
          <w:rFonts w:hint="default" w:ascii="Times New Roman" w:hAnsi="Times New Roman" w:eastAsia="方正仿宋_GBK" w:cs="Times New Roman"/>
          <w:b/>
          <w:bCs/>
          <w:color w:val="auto"/>
          <w:kern w:val="2"/>
          <w:sz w:val="32"/>
          <w:szCs w:val="32"/>
          <w:highlight w:val="none"/>
          <w:lang w:val="en-US" w:eastAsia="zh-CN" w:bidi="ar-SA"/>
        </w:rPr>
        <w:t>12</w:t>
      </w:r>
      <w:r>
        <w:rPr>
          <w:rFonts w:hint="default" w:ascii="Times New Roman" w:hAnsi="Times New Roman" w:eastAsia="方正仿宋_GBK" w:cs="Times New Roman"/>
          <w:color w:val="auto"/>
          <w:kern w:val="2"/>
          <w:sz w:val="32"/>
          <w:szCs w:val="32"/>
          <w:highlight w:val="none"/>
          <w:lang w:val="en-US" w:eastAsia="zh-CN" w:bidi="ar-SA"/>
        </w:rPr>
        <w:t>月</w:t>
      </w:r>
      <w:r>
        <w:rPr>
          <w:rFonts w:hint="default" w:ascii="Times New Roman" w:hAnsi="Times New Roman" w:eastAsia="方正仿宋_GBK" w:cs="Times New Roman"/>
          <w:b/>
          <w:bCs/>
          <w:color w:val="auto"/>
          <w:kern w:val="2"/>
          <w:sz w:val="32"/>
          <w:szCs w:val="32"/>
          <w:highlight w:val="none"/>
          <w:lang w:val="en-US" w:eastAsia="zh-CN" w:bidi="ar-SA"/>
        </w:rPr>
        <w:t>31</w:t>
      </w:r>
      <w:r>
        <w:rPr>
          <w:rFonts w:hint="default" w:ascii="Times New Roman" w:hAnsi="Times New Roman" w:eastAsia="方正仿宋_GBK" w:cs="Times New Roman"/>
          <w:color w:val="auto"/>
          <w:kern w:val="2"/>
          <w:sz w:val="32"/>
          <w:szCs w:val="32"/>
          <w:highlight w:val="none"/>
          <w:lang w:val="en-US" w:eastAsia="zh-CN" w:bidi="ar-SA"/>
        </w:rPr>
        <w:t>日，单位共有公务用车</w:t>
      </w:r>
      <w:r>
        <w:rPr>
          <w:rFonts w:hint="default" w:ascii="Times New Roman" w:hAnsi="Times New Roman" w:eastAsia="方正仿宋_GBK" w:cs="Times New Roman"/>
          <w:b/>
          <w:bCs/>
          <w:color w:val="auto"/>
          <w:kern w:val="2"/>
          <w:sz w:val="32"/>
          <w:szCs w:val="32"/>
          <w:highlight w:val="none"/>
          <w:lang w:val="en-US" w:eastAsia="zh-CN" w:bidi="ar-SA"/>
        </w:rPr>
        <w:t>18</w:t>
      </w:r>
      <w:r>
        <w:rPr>
          <w:rFonts w:hint="default" w:ascii="Times New Roman" w:hAnsi="Times New Roman" w:eastAsia="方正仿宋_GBK" w:cs="Times New Roman"/>
          <w:color w:val="auto"/>
          <w:kern w:val="2"/>
          <w:sz w:val="32"/>
          <w:szCs w:val="32"/>
          <w:highlight w:val="none"/>
          <w:lang w:val="en-US" w:eastAsia="zh-CN" w:bidi="ar-SA"/>
        </w:rPr>
        <w:t>辆，其中：轿车</w:t>
      </w:r>
      <w:r>
        <w:rPr>
          <w:rFonts w:hint="default" w:ascii="Times New Roman" w:hAnsi="Times New Roman" w:eastAsia="方正仿宋_GBK" w:cs="Times New Roman"/>
          <w:b/>
          <w:bCs/>
          <w:color w:val="auto"/>
          <w:kern w:val="2"/>
          <w:sz w:val="32"/>
          <w:szCs w:val="32"/>
          <w:highlight w:val="none"/>
          <w:lang w:val="en-US" w:eastAsia="zh-CN" w:bidi="ar-SA"/>
        </w:rPr>
        <w:t>14</w:t>
      </w:r>
      <w:r>
        <w:rPr>
          <w:rFonts w:hint="default" w:ascii="Times New Roman" w:hAnsi="Times New Roman" w:eastAsia="方正仿宋_GBK" w:cs="Times New Roman"/>
          <w:color w:val="auto"/>
          <w:kern w:val="2"/>
          <w:sz w:val="32"/>
          <w:szCs w:val="32"/>
          <w:highlight w:val="none"/>
          <w:lang w:val="en-US" w:eastAsia="zh-CN" w:bidi="ar-SA"/>
        </w:rPr>
        <w:t>辆、越野车</w:t>
      </w:r>
      <w:r>
        <w:rPr>
          <w:rFonts w:hint="default" w:ascii="Times New Roman" w:hAnsi="Times New Roman" w:eastAsia="方正仿宋_GBK" w:cs="Times New Roman"/>
          <w:b/>
          <w:bCs/>
          <w:color w:val="auto"/>
          <w:kern w:val="2"/>
          <w:sz w:val="32"/>
          <w:szCs w:val="32"/>
          <w:highlight w:val="none"/>
          <w:lang w:val="en-US" w:eastAsia="zh-CN" w:bidi="ar-SA"/>
        </w:rPr>
        <w:t>4</w:t>
      </w:r>
      <w:r>
        <w:rPr>
          <w:rFonts w:hint="default" w:ascii="Times New Roman" w:hAnsi="Times New Roman" w:eastAsia="方正仿宋_GBK" w:cs="Times New Roman"/>
          <w:color w:val="auto"/>
          <w:kern w:val="2"/>
          <w:sz w:val="32"/>
          <w:szCs w:val="32"/>
          <w:highlight w:val="none"/>
          <w:lang w:val="en-US" w:eastAsia="zh-CN" w:bidi="ar-SA"/>
        </w:rPr>
        <w:t>辆、载客汽车</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辆。</w:t>
      </w:r>
    </w:p>
    <w:p w14:paraId="14475700">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公务用车运行维护费支出</w:t>
      </w:r>
      <w:r>
        <w:rPr>
          <w:rFonts w:hint="default" w:ascii="Times New Roman" w:hAnsi="Times New Roman" w:eastAsia="方正仿宋_GBK" w:cs="Times New Roman"/>
          <w:b/>
          <w:bCs/>
          <w:sz w:val="32"/>
          <w:szCs w:val="32"/>
        </w:rPr>
        <w:t>23.16</w:t>
      </w:r>
      <w:r>
        <w:rPr>
          <w:rFonts w:hint="default" w:ascii="Times New Roman" w:hAnsi="Times New Roman" w:eastAsia="方正仿宋_GBK" w:cs="Times New Roman"/>
          <w:color w:val="auto"/>
          <w:kern w:val="2"/>
          <w:sz w:val="32"/>
          <w:szCs w:val="32"/>
          <w:highlight w:val="none"/>
          <w:lang w:val="en-US" w:eastAsia="zh-CN" w:bidi="ar-SA"/>
        </w:rPr>
        <w:t>万元。主要用于参加开展监督检查、调研、办案等所需的公务用车燃料费、维修费、过路过桥费、保险费等支出。</w:t>
      </w:r>
    </w:p>
    <w:p w14:paraId="13BFAF5C">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3.公务接待费支出2.41万元，完成预算</w:t>
      </w:r>
      <w:r>
        <w:rPr>
          <w:rFonts w:hint="eastAsia" w:ascii="Times New Roman" w:hAnsi="Times New Roman" w:eastAsia="方正仿宋_GBK" w:cs="Times New Roman"/>
          <w:b/>
          <w:bCs/>
          <w:color w:val="auto"/>
          <w:kern w:val="2"/>
          <w:sz w:val="32"/>
          <w:szCs w:val="32"/>
          <w:highlight w:val="none"/>
          <w:lang w:val="en-US" w:eastAsia="zh-CN" w:bidi="ar-SA"/>
        </w:rPr>
        <w:t>100</w:t>
      </w: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公务接待费支出决算比</w:t>
      </w:r>
      <w:r>
        <w:rPr>
          <w:rFonts w:hint="default" w:ascii="Times New Roman" w:hAnsi="Times New Roman" w:eastAsia="方正仿宋_GBK" w:cs="Times New Roman"/>
          <w:b/>
          <w:bCs/>
          <w:color w:val="auto"/>
          <w:kern w:val="2"/>
          <w:sz w:val="32"/>
          <w:szCs w:val="32"/>
          <w:highlight w:val="none"/>
          <w:lang w:val="en-US" w:eastAsia="zh-CN" w:bidi="ar-SA"/>
        </w:rPr>
        <w:t>2023</w:t>
      </w:r>
      <w:r>
        <w:rPr>
          <w:rFonts w:hint="default" w:ascii="Times New Roman" w:hAnsi="Times New Roman" w:eastAsia="方正仿宋_GBK" w:cs="Times New Roman"/>
          <w:color w:val="auto"/>
          <w:kern w:val="2"/>
          <w:sz w:val="32"/>
          <w:szCs w:val="32"/>
          <w:highlight w:val="none"/>
          <w:lang w:val="en-US" w:eastAsia="zh-CN" w:bidi="ar-SA"/>
        </w:rPr>
        <w:t>年度增加</w:t>
      </w:r>
      <w:r>
        <w:rPr>
          <w:rFonts w:hint="eastAsia" w:ascii="Times New Roman" w:hAnsi="Times New Roman" w:eastAsia="方正仿宋_GBK" w:cs="Times New Roman"/>
          <w:b/>
          <w:bCs/>
          <w:color w:val="auto"/>
          <w:kern w:val="2"/>
          <w:sz w:val="32"/>
          <w:szCs w:val="32"/>
          <w:highlight w:val="none"/>
          <w:lang w:val="en-US" w:eastAsia="zh-CN" w:bidi="ar-SA"/>
        </w:rPr>
        <w:t>0.02</w:t>
      </w:r>
      <w:r>
        <w:rPr>
          <w:rFonts w:hint="default" w:ascii="Times New Roman" w:hAnsi="Times New Roman" w:eastAsia="方正仿宋_GBK" w:cs="Times New Roman"/>
          <w:color w:val="auto"/>
          <w:kern w:val="2"/>
          <w:sz w:val="32"/>
          <w:szCs w:val="32"/>
          <w:highlight w:val="none"/>
          <w:lang w:val="en-US" w:eastAsia="zh-CN" w:bidi="ar-SA"/>
        </w:rPr>
        <w:t>万元，增长</w:t>
      </w:r>
      <w:r>
        <w:rPr>
          <w:rFonts w:hint="eastAsia" w:ascii="Times New Roman" w:hAnsi="Times New Roman" w:eastAsia="方正仿宋_GBK" w:cs="Times New Roman"/>
          <w:b/>
          <w:bCs/>
          <w:color w:val="auto"/>
          <w:kern w:val="2"/>
          <w:sz w:val="32"/>
          <w:szCs w:val="32"/>
          <w:highlight w:val="none"/>
          <w:lang w:val="en-US" w:eastAsia="zh-CN" w:bidi="ar-SA"/>
        </w:rPr>
        <w:t>0.84</w:t>
      </w: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。主要原因是</w:t>
      </w:r>
      <w:r>
        <w:rPr>
          <w:rFonts w:eastAsia="方正仿宋_GBK"/>
          <w:sz w:val="32"/>
          <w:szCs w:val="32"/>
        </w:rPr>
        <w:t>上级部门</w:t>
      </w:r>
      <w:r>
        <w:rPr>
          <w:rFonts w:eastAsia="方正仿宋_GBK"/>
          <w:color w:val="000000"/>
          <w:sz w:val="32"/>
          <w:szCs w:val="32"/>
        </w:rPr>
        <w:t>来攀调研工作</w:t>
      </w:r>
      <w:r>
        <w:rPr>
          <w:rFonts w:eastAsia="方正仿宋_GBK"/>
          <w:sz w:val="32"/>
          <w:szCs w:val="32"/>
        </w:rPr>
        <w:t>、</w:t>
      </w:r>
      <w:r>
        <w:rPr>
          <w:rFonts w:eastAsia="方正仿宋_GBK"/>
          <w:color w:val="000000"/>
          <w:sz w:val="32"/>
          <w:szCs w:val="32"/>
        </w:rPr>
        <w:t>省内对口部门来攀对接工作，执行公务、开展业务活动经费支出增加</w:t>
      </w:r>
      <w:r>
        <w:rPr>
          <w:rFonts w:eastAsia="方正仿宋_GBK"/>
          <w:sz w:val="32"/>
          <w:szCs w:val="32"/>
        </w:rPr>
        <w:t>。</w:t>
      </w:r>
      <w:r>
        <w:rPr>
          <w:rFonts w:hint="default" w:ascii="Times New Roman" w:hAnsi="Times New Roman" w:eastAsia="方正仿宋_GBK" w:cs="Times New Roman"/>
          <w:color w:val="auto"/>
          <w:kern w:val="2"/>
          <w:sz w:val="32"/>
          <w:szCs w:val="32"/>
          <w:highlight w:val="none"/>
          <w:lang w:val="en-US" w:eastAsia="zh-CN" w:bidi="ar-SA"/>
        </w:rPr>
        <w:t>其中：</w:t>
      </w:r>
    </w:p>
    <w:p w14:paraId="5AE8E258">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国内公务接待支出</w:t>
      </w:r>
      <w:r>
        <w:rPr>
          <w:rFonts w:hint="default" w:ascii="Times New Roman" w:hAnsi="Times New Roman" w:eastAsia="方正仿宋_GBK" w:cs="Times New Roman"/>
          <w:b/>
          <w:bCs/>
          <w:sz w:val="32"/>
          <w:szCs w:val="32"/>
        </w:rPr>
        <w:t>2.41</w:t>
      </w:r>
      <w:r>
        <w:rPr>
          <w:rFonts w:hint="default" w:ascii="Times New Roman" w:hAnsi="Times New Roman" w:eastAsia="方正仿宋_GBK" w:cs="Times New Roman"/>
          <w:color w:val="auto"/>
          <w:kern w:val="2"/>
          <w:sz w:val="32"/>
          <w:szCs w:val="32"/>
          <w:highlight w:val="none"/>
          <w:lang w:val="en-US" w:eastAsia="zh-CN" w:bidi="ar-SA"/>
        </w:rPr>
        <w:t>万元，主要用于单位执行公务、开展业务活动开支的交通费、住宿费、用餐费等。国内公务接待</w:t>
      </w:r>
      <w:r>
        <w:rPr>
          <w:rFonts w:hint="default" w:ascii="Times New Roman" w:hAnsi="Times New Roman" w:eastAsia="方正仿宋_GBK" w:cs="Times New Roman"/>
          <w:b/>
          <w:bCs/>
          <w:color w:val="auto"/>
          <w:kern w:val="2"/>
          <w:sz w:val="32"/>
          <w:szCs w:val="32"/>
          <w:highlight w:val="none"/>
          <w:lang w:val="en-US" w:eastAsia="zh-CN" w:bidi="ar-SA"/>
        </w:rPr>
        <w:t>23</w:t>
      </w:r>
      <w:r>
        <w:rPr>
          <w:rFonts w:hint="default" w:ascii="Times New Roman" w:hAnsi="Times New Roman" w:eastAsia="方正仿宋_GBK" w:cs="Times New Roman"/>
          <w:color w:val="auto"/>
          <w:kern w:val="2"/>
          <w:sz w:val="32"/>
          <w:szCs w:val="32"/>
          <w:highlight w:val="none"/>
          <w:lang w:val="en-US" w:eastAsia="zh-CN" w:bidi="ar-SA"/>
        </w:rPr>
        <w:t>批次，</w:t>
      </w:r>
      <w:r>
        <w:rPr>
          <w:rFonts w:hint="default" w:ascii="Times New Roman" w:hAnsi="Times New Roman" w:eastAsia="方正仿宋_GBK" w:cs="Times New Roman"/>
          <w:b/>
          <w:bCs/>
          <w:color w:val="auto"/>
          <w:kern w:val="2"/>
          <w:sz w:val="32"/>
          <w:szCs w:val="32"/>
          <w:highlight w:val="none"/>
          <w:lang w:val="en-US" w:eastAsia="zh-CN" w:bidi="ar-SA"/>
        </w:rPr>
        <w:t>74</w:t>
      </w:r>
      <w:r>
        <w:rPr>
          <w:rFonts w:hint="default" w:ascii="Times New Roman" w:hAnsi="Times New Roman" w:eastAsia="方正仿宋_GBK" w:cs="Times New Roman"/>
          <w:color w:val="auto"/>
          <w:kern w:val="2"/>
          <w:sz w:val="32"/>
          <w:szCs w:val="32"/>
          <w:highlight w:val="none"/>
          <w:lang w:val="en-US" w:eastAsia="zh-CN" w:bidi="ar-SA"/>
        </w:rPr>
        <w:t>人次（不包括陪同人员），共计支出</w:t>
      </w:r>
      <w:r>
        <w:rPr>
          <w:rFonts w:hint="default" w:ascii="Times New Roman" w:hAnsi="Times New Roman" w:eastAsia="方正仿宋_GBK" w:cs="Times New Roman"/>
          <w:b/>
          <w:bCs/>
          <w:color w:val="auto"/>
          <w:kern w:val="2"/>
          <w:sz w:val="32"/>
          <w:szCs w:val="32"/>
          <w:highlight w:val="none"/>
          <w:lang w:val="en-US" w:eastAsia="zh-CN" w:bidi="ar-SA"/>
        </w:rPr>
        <w:t>2.41</w:t>
      </w:r>
      <w:r>
        <w:rPr>
          <w:rFonts w:hint="default" w:ascii="Times New Roman" w:hAnsi="Times New Roman" w:eastAsia="方正仿宋_GBK" w:cs="Times New Roman"/>
          <w:color w:val="auto"/>
          <w:kern w:val="2"/>
          <w:sz w:val="32"/>
          <w:szCs w:val="32"/>
          <w:highlight w:val="none"/>
          <w:lang w:val="en-US" w:eastAsia="zh-CN" w:bidi="ar-SA"/>
        </w:rPr>
        <w:t>万元，具体内容包括：来自省、同级市州的检查、办案、交流、学习、调研等发生接待餐费。</w:t>
      </w:r>
    </w:p>
    <w:p w14:paraId="70A74A57">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bookmarkStart w:id="58" w:name="_Toc15377218"/>
      <w:bookmarkStart w:id="59" w:name="_Toc15396610"/>
      <w:r>
        <w:rPr>
          <w:rFonts w:hint="default" w:ascii="Times New Roman" w:hAnsi="Times New Roman" w:eastAsia="方正仿宋_GBK" w:cs="Times New Roman"/>
          <w:b w:val="0"/>
          <w:bCs w:val="0"/>
          <w:color w:val="auto"/>
          <w:kern w:val="2"/>
          <w:sz w:val="32"/>
          <w:szCs w:val="32"/>
          <w:highlight w:val="none"/>
          <w:lang w:val="en-US" w:eastAsia="zh-CN" w:bidi="ar-SA"/>
        </w:rPr>
        <w:t>外事接待支出</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b w:val="0"/>
          <w:bCs w:val="0"/>
          <w:color w:val="auto"/>
          <w:kern w:val="2"/>
          <w:sz w:val="32"/>
          <w:szCs w:val="32"/>
          <w:highlight w:val="none"/>
          <w:lang w:val="en-US" w:eastAsia="zh-CN" w:bidi="ar-SA"/>
        </w:rPr>
        <w:t>万元</w:t>
      </w:r>
      <w:r>
        <w:rPr>
          <w:rFonts w:hint="default" w:ascii="Times New Roman" w:hAnsi="Times New Roman" w:eastAsia="方正仿宋_GBK" w:cs="Times New Roman"/>
          <w:color w:val="auto"/>
          <w:kern w:val="2"/>
          <w:sz w:val="32"/>
          <w:szCs w:val="32"/>
          <w:highlight w:val="none"/>
          <w:lang w:val="en-US" w:eastAsia="zh-CN" w:bidi="ar-SA"/>
        </w:rPr>
        <w:t>，外事接待</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批次，</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人次（不包括陪同人员），共计支出</w:t>
      </w:r>
      <w:r>
        <w:rPr>
          <w:rFonts w:hint="default" w:ascii="Times New Roman" w:hAnsi="Times New Roman" w:eastAsia="方正仿宋_GBK" w:cs="Times New Roman"/>
          <w:b/>
          <w:bCs/>
          <w:color w:val="auto"/>
          <w:kern w:val="2"/>
          <w:sz w:val="32"/>
          <w:szCs w:val="32"/>
          <w:highlight w:val="none"/>
          <w:lang w:val="en-US" w:eastAsia="zh-CN" w:bidi="ar-SA"/>
        </w:rPr>
        <w:t>0</w:t>
      </w:r>
      <w:r>
        <w:rPr>
          <w:rFonts w:hint="default" w:ascii="Times New Roman" w:hAnsi="Times New Roman" w:eastAsia="方正仿宋_GBK" w:cs="Times New Roman"/>
          <w:color w:val="auto"/>
          <w:kern w:val="2"/>
          <w:sz w:val="32"/>
          <w:szCs w:val="32"/>
          <w:highlight w:val="none"/>
          <w:lang w:val="en-US" w:eastAsia="zh-CN" w:bidi="ar-SA"/>
        </w:rPr>
        <w:t>万元。</w:t>
      </w:r>
    </w:p>
    <w:bookmarkEnd w:id="58"/>
    <w:bookmarkEnd w:id="59"/>
    <w:p w14:paraId="00F3A5DC">
      <w:pPr>
        <w:spacing w:line="240" w:lineRule="auto"/>
        <w:ind w:firstLine="640" w:firstLineChars="0"/>
        <w:outlineLvl w:val="1"/>
        <w:rPr>
          <w:rStyle w:val="31"/>
          <w:rFonts w:ascii="Times New Roman" w:hAnsi="Times New Roman" w:eastAsia="黑体"/>
          <w:color w:val="auto"/>
          <w:sz w:val="32"/>
          <w:szCs w:val="32"/>
          <w:highlight w:val="none"/>
        </w:rPr>
      </w:pPr>
      <w:bookmarkStart w:id="60" w:name="_Toc30362"/>
      <w:bookmarkStart w:id="61" w:name="_Toc18352"/>
      <w:bookmarkStart w:id="62" w:name="_Toc6712"/>
      <w:r>
        <w:rPr>
          <w:rFonts w:hint="eastAsia" w:ascii="Times New Roman" w:hAnsi="Times New Roman" w:eastAsia="黑体"/>
          <w:color w:val="auto"/>
          <w:sz w:val="32"/>
          <w:szCs w:val="32"/>
          <w:highlight w:val="none"/>
        </w:rPr>
        <w:t>八、</w:t>
      </w:r>
      <w:r>
        <w:rPr>
          <w:rStyle w:val="31"/>
          <w:rFonts w:hint="eastAsia" w:ascii="Times New Roman" w:hAnsi="Times New Roman" w:eastAsia="黑体"/>
          <w:b w:val="0"/>
          <w:color w:val="auto"/>
          <w:sz w:val="32"/>
          <w:szCs w:val="32"/>
          <w:highlight w:val="none"/>
        </w:rPr>
        <w:t>政府性基金预算支出决算情况说明</w:t>
      </w:r>
      <w:bookmarkEnd w:id="60"/>
      <w:bookmarkEnd w:id="61"/>
      <w:bookmarkEnd w:id="62"/>
    </w:p>
    <w:p w14:paraId="69A1BAF4">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方正仿宋_GBK" w:cs="Times New Roman"/>
          <w:b/>
          <w:bCs/>
          <w:sz w:val="32"/>
          <w:szCs w:val="32"/>
        </w:rPr>
        <w:t>202</w:t>
      </w: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sz w:val="32"/>
          <w:szCs w:val="32"/>
        </w:rPr>
        <w:t>年度政府性基金预算财政拨款支出</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万元。</w:t>
      </w:r>
    </w:p>
    <w:p w14:paraId="0371A85C">
      <w:pPr>
        <w:numPr>
          <w:ilvl w:val="0"/>
          <w:numId w:val="0"/>
        </w:numPr>
        <w:spacing w:line="240" w:lineRule="auto"/>
        <w:ind w:left="630" w:leftChars="0" w:firstLine="0" w:firstLineChars="0"/>
        <w:outlineLvl w:val="1"/>
        <w:rPr>
          <w:rStyle w:val="31"/>
          <w:rFonts w:ascii="Times New Roman" w:hAnsi="Times New Roman" w:eastAsia="黑体"/>
          <w:b w:val="0"/>
          <w:color w:val="auto"/>
          <w:sz w:val="32"/>
          <w:szCs w:val="32"/>
          <w:highlight w:val="none"/>
        </w:rPr>
      </w:pPr>
      <w:bookmarkStart w:id="63" w:name="_Toc17968"/>
      <w:bookmarkStart w:id="64" w:name="_Toc15377219"/>
      <w:bookmarkStart w:id="65" w:name="_Toc15396611"/>
      <w:bookmarkStart w:id="66" w:name="_Toc21268"/>
      <w:bookmarkStart w:id="67" w:name="_Toc27710"/>
      <w:r>
        <w:rPr>
          <w:rStyle w:val="31"/>
          <w:rFonts w:hint="eastAsia" w:ascii="Times New Roman" w:hAnsi="Times New Roman" w:eastAsia="黑体"/>
          <w:b w:val="0"/>
          <w:color w:val="auto"/>
          <w:sz w:val="32"/>
          <w:szCs w:val="32"/>
          <w:highlight w:val="none"/>
          <w:lang w:eastAsia="zh-CN"/>
        </w:rPr>
        <w:t>九、</w:t>
      </w:r>
      <w:r>
        <w:rPr>
          <w:rStyle w:val="31"/>
          <w:rFonts w:hint="eastAsia" w:ascii="Times New Roman" w:hAnsi="Times New Roman" w:eastAsia="黑体"/>
          <w:b w:val="0"/>
          <w:color w:val="auto"/>
          <w:sz w:val="32"/>
          <w:szCs w:val="32"/>
          <w:highlight w:val="none"/>
        </w:rPr>
        <w:t>国有资本经营预算支出决算情况说明</w:t>
      </w:r>
      <w:bookmarkEnd w:id="63"/>
      <w:bookmarkEnd w:id="64"/>
      <w:bookmarkEnd w:id="65"/>
      <w:bookmarkEnd w:id="66"/>
      <w:bookmarkEnd w:id="67"/>
    </w:p>
    <w:p w14:paraId="6D257826">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方正仿宋_GBK" w:cs="Times New Roman"/>
          <w:b/>
          <w:bCs/>
          <w:sz w:val="32"/>
          <w:szCs w:val="32"/>
        </w:rPr>
        <w:t>202</w:t>
      </w: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sz w:val="32"/>
          <w:szCs w:val="32"/>
        </w:rPr>
        <w:t>年度国有资本经营预算财政拨款支出</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万元。</w:t>
      </w:r>
    </w:p>
    <w:p w14:paraId="103E0721">
      <w:pPr>
        <w:numPr>
          <w:ilvl w:val="0"/>
          <w:numId w:val="0"/>
        </w:numPr>
        <w:spacing w:line="240" w:lineRule="auto"/>
        <w:ind w:left="630" w:leftChars="0"/>
        <w:outlineLvl w:val="1"/>
        <w:rPr>
          <w:rStyle w:val="31"/>
          <w:rFonts w:hint="eastAsia" w:ascii="Times New Roman" w:hAnsi="Times New Roman" w:eastAsia="黑体"/>
          <w:b w:val="0"/>
          <w:color w:val="auto"/>
          <w:highlight w:val="none"/>
        </w:rPr>
      </w:pPr>
      <w:bookmarkStart w:id="68" w:name="_Toc15377221"/>
      <w:bookmarkStart w:id="69" w:name="_Toc24756"/>
      <w:bookmarkStart w:id="70" w:name="_Toc15396612"/>
      <w:r>
        <w:rPr>
          <w:rStyle w:val="31"/>
          <w:rFonts w:hint="eastAsia" w:ascii="Times New Roman" w:hAnsi="Times New Roman" w:eastAsia="黑体"/>
          <w:b w:val="0"/>
          <w:color w:val="auto"/>
          <w:highlight w:val="none"/>
          <w:lang w:eastAsia="zh-CN"/>
        </w:rPr>
        <w:t>十、</w:t>
      </w:r>
      <w:r>
        <w:rPr>
          <w:rStyle w:val="31"/>
          <w:rFonts w:hint="eastAsia" w:ascii="Times New Roman" w:hAnsi="Times New Roman" w:eastAsia="黑体"/>
          <w:b w:val="0"/>
          <w:color w:val="auto"/>
          <w:highlight w:val="none"/>
        </w:rPr>
        <w:t>其他重要事项的情况说明</w:t>
      </w:r>
      <w:bookmarkEnd w:id="68"/>
      <w:bookmarkEnd w:id="69"/>
      <w:bookmarkEnd w:id="70"/>
    </w:p>
    <w:p w14:paraId="33264450">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71" w:name="_Toc15377222"/>
      <w:r>
        <w:rPr>
          <w:rFonts w:hint="eastAsia" w:ascii="方正楷体_GBK" w:hAnsi="方正楷体_GBK" w:eastAsia="方正楷体_GBK" w:cs="方正楷体_GBK"/>
          <w:b/>
          <w:color w:val="auto"/>
          <w:sz w:val="32"/>
          <w:szCs w:val="32"/>
          <w:highlight w:val="none"/>
        </w:rPr>
        <w:t>（一）机关运行经费支出情况</w:t>
      </w:r>
      <w:bookmarkEnd w:id="71"/>
    </w:p>
    <w:p w14:paraId="5D696635">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w:t>
      </w:r>
      <w:r>
        <w:rPr>
          <w:rFonts w:eastAsia="方正仿宋_GBK"/>
          <w:sz w:val="32"/>
          <w:szCs w:val="32"/>
        </w:rPr>
        <w:t>攀枝花市纪委监委</w:t>
      </w:r>
      <w:r>
        <w:rPr>
          <w:rFonts w:hint="default" w:ascii="Times New Roman" w:hAnsi="Times New Roman" w:eastAsia="方正仿宋_GBK" w:cs="Times New Roman"/>
          <w:color w:val="auto"/>
          <w:kern w:val="2"/>
          <w:sz w:val="32"/>
          <w:szCs w:val="32"/>
          <w:highlight w:val="none"/>
          <w:lang w:val="en-US" w:eastAsia="zh-CN" w:bidi="ar-SA"/>
        </w:rPr>
        <w:t>机关运行经费支出</w:t>
      </w:r>
      <w:r>
        <w:rPr>
          <w:rFonts w:hint="default" w:ascii="Times New Roman" w:hAnsi="Times New Roman" w:eastAsia="方正仿宋_GBK" w:cs="Times New Roman"/>
          <w:b/>
          <w:bCs/>
          <w:sz w:val="32"/>
          <w:szCs w:val="32"/>
        </w:rPr>
        <w:t>295.27</w:t>
      </w:r>
      <w:r>
        <w:rPr>
          <w:rFonts w:hint="default" w:ascii="Times New Roman" w:hAnsi="Times New Roman" w:eastAsia="方正仿宋_GBK" w:cs="Times New Roman"/>
          <w:color w:val="auto"/>
          <w:kern w:val="2"/>
          <w:sz w:val="32"/>
          <w:szCs w:val="32"/>
          <w:highlight w:val="none"/>
          <w:lang w:val="en-US" w:eastAsia="zh-CN" w:bidi="ar-SA"/>
        </w:rPr>
        <w:t>万元，比</w:t>
      </w:r>
      <w:r>
        <w:rPr>
          <w:rFonts w:hint="default" w:ascii="Times New Roman" w:hAnsi="Times New Roman" w:eastAsia="方正仿宋_GBK" w:cs="Times New Roman"/>
          <w:b/>
          <w:bCs/>
          <w:color w:val="auto"/>
          <w:kern w:val="2"/>
          <w:sz w:val="32"/>
          <w:szCs w:val="32"/>
          <w:highlight w:val="none"/>
          <w:lang w:val="en-US" w:eastAsia="zh-CN" w:bidi="ar-SA"/>
        </w:rPr>
        <w:t>2023</w:t>
      </w:r>
      <w:r>
        <w:rPr>
          <w:rFonts w:hint="default" w:ascii="Times New Roman" w:hAnsi="Times New Roman" w:eastAsia="方正仿宋_GBK" w:cs="Times New Roman"/>
          <w:color w:val="auto"/>
          <w:kern w:val="2"/>
          <w:sz w:val="32"/>
          <w:szCs w:val="32"/>
          <w:highlight w:val="none"/>
          <w:lang w:val="en-US" w:eastAsia="zh-CN" w:bidi="ar-SA"/>
        </w:rPr>
        <w:t>年度减少</w:t>
      </w:r>
      <w:r>
        <w:rPr>
          <w:rFonts w:hint="default" w:ascii="Times New Roman" w:hAnsi="Times New Roman" w:eastAsia="方正仿宋_GBK" w:cs="Times New Roman"/>
          <w:b/>
          <w:bCs/>
          <w:color w:val="auto"/>
          <w:kern w:val="2"/>
          <w:sz w:val="32"/>
          <w:szCs w:val="32"/>
          <w:highlight w:val="none"/>
          <w:lang w:val="en-US" w:eastAsia="zh-CN" w:bidi="ar-SA"/>
        </w:rPr>
        <w:t>5.57</w:t>
      </w:r>
      <w:r>
        <w:rPr>
          <w:rFonts w:hint="default" w:ascii="Times New Roman" w:hAnsi="Times New Roman" w:eastAsia="方正仿宋_GBK" w:cs="Times New Roman"/>
          <w:color w:val="auto"/>
          <w:kern w:val="2"/>
          <w:sz w:val="32"/>
          <w:szCs w:val="32"/>
          <w:highlight w:val="none"/>
          <w:lang w:val="en-US" w:eastAsia="zh-CN" w:bidi="ar-SA"/>
        </w:rPr>
        <w:t>万元，下降</w:t>
      </w:r>
      <w:r>
        <w:rPr>
          <w:rFonts w:hint="default" w:ascii="Times New Roman" w:hAnsi="Times New Roman" w:eastAsia="方正仿宋_GBK" w:cs="Times New Roman"/>
          <w:b/>
          <w:bCs/>
          <w:color w:val="auto"/>
          <w:kern w:val="2"/>
          <w:sz w:val="32"/>
          <w:szCs w:val="32"/>
          <w:highlight w:val="none"/>
          <w:lang w:val="en-US" w:eastAsia="zh-CN" w:bidi="ar-SA"/>
        </w:rPr>
        <w:t>1.85</w:t>
      </w:r>
      <w:r>
        <w:rPr>
          <w:rFonts w:hint="default" w:ascii="Times New Roman" w:hAnsi="Times New Roman" w:eastAsia="方正仿宋_GBK" w:cs="Times New Roman"/>
          <w:color w:val="auto"/>
          <w:kern w:val="2"/>
          <w:sz w:val="32"/>
          <w:szCs w:val="32"/>
          <w:highlight w:val="none"/>
          <w:lang w:val="en-US" w:eastAsia="zh-CN" w:bidi="ar-SA"/>
        </w:rPr>
        <w:t>%。主要原因是保障机关基本支出减少。</w:t>
      </w:r>
    </w:p>
    <w:p w14:paraId="3325677B">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72" w:name="_Toc15377223"/>
      <w:r>
        <w:rPr>
          <w:rFonts w:hint="eastAsia" w:ascii="方正楷体_GBK" w:hAnsi="方正楷体_GBK" w:eastAsia="方正楷体_GBK" w:cs="方正楷体_GBK"/>
          <w:b/>
          <w:color w:val="auto"/>
          <w:sz w:val="32"/>
          <w:szCs w:val="32"/>
          <w:highlight w:val="none"/>
        </w:rPr>
        <w:t>（二）政府采购支出情况</w:t>
      </w:r>
      <w:bookmarkEnd w:id="72"/>
    </w:p>
    <w:p w14:paraId="330D53E0">
      <w:pPr>
        <w:spacing w:line="240" w:lineRule="auto"/>
        <w:ind w:firstLine="64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2024</w:t>
      </w:r>
      <w:r>
        <w:rPr>
          <w:rFonts w:hint="default" w:ascii="Times New Roman" w:hAnsi="Times New Roman" w:eastAsia="方正仿宋_GBK" w:cs="Times New Roman"/>
          <w:color w:val="auto"/>
          <w:kern w:val="2"/>
          <w:sz w:val="32"/>
          <w:szCs w:val="32"/>
          <w:highlight w:val="none"/>
          <w:lang w:val="en-US" w:eastAsia="zh-CN" w:bidi="ar-SA"/>
        </w:rPr>
        <w:t>年度，</w:t>
      </w:r>
      <w:r>
        <w:rPr>
          <w:rFonts w:eastAsia="方正仿宋_GBK"/>
          <w:sz w:val="32"/>
          <w:szCs w:val="32"/>
        </w:rPr>
        <w:t>攀枝花市纪委监委</w:t>
      </w:r>
      <w:r>
        <w:rPr>
          <w:rFonts w:hint="default" w:ascii="Times New Roman" w:hAnsi="Times New Roman" w:eastAsia="方正仿宋_GBK" w:cs="Times New Roman"/>
          <w:color w:val="auto"/>
          <w:kern w:val="2"/>
          <w:sz w:val="32"/>
          <w:szCs w:val="32"/>
          <w:highlight w:val="none"/>
          <w:lang w:val="en-US" w:eastAsia="zh-CN" w:bidi="ar-SA"/>
        </w:rPr>
        <w:t>政府采购支出总额</w:t>
      </w:r>
      <w:r>
        <w:rPr>
          <w:rFonts w:hint="default" w:ascii="Times New Roman" w:hAnsi="Times New Roman" w:eastAsia="方正仿宋_GBK" w:cs="Times New Roman"/>
          <w:b/>
          <w:bCs/>
          <w:sz w:val="32"/>
          <w:szCs w:val="32"/>
        </w:rPr>
        <w:t>27.18</w:t>
      </w:r>
      <w:r>
        <w:rPr>
          <w:rFonts w:hint="default" w:ascii="Times New Roman" w:hAnsi="Times New Roman" w:eastAsia="方正仿宋_GBK" w:cs="Times New Roman"/>
          <w:color w:val="auto"/>
          <w:kern w:val="2"/>
          <w:sz w:val="32"/>
          <w:szCs w:val="32"/>
          <w:highlight w:val="none"/>
          <w:lang w:val="en-US" w:eastAsia="zh-CN" w:bidi="ar-SA"/>
        </w:rPr>
        <w:t>万元，其中：政府采购货物支出</w:t>
      </w:r>
      <w:r>
        <w:rPr>
          <w:rFonts w:hint="default" w:ascii="Times New Roman" w:hAnsi="Times New Roman" w:eastAsia="方正仿宋_GBK" w:cs="Times New Roman"/>
          <w:b/>
          <w:bCs/>
          <w:sz w:val="32"/>
          <w:szCs w:val="32"/>
        </w:rPr>
        <w:t>13.02</w:t>
      </w:r>
      <w:r>
        <w:rPr>
          <w:rFonts w:hint="default" w:ascii="Times New Roman" w:hAnsi="Times New Roman" w:eastAsia="方正仿宋_GBK" w:cs="Times New Roman"/>
          <w:color w:val="auto"/>
          <w:kern w:val="2"/>
          <w:sz w:val="32"/>
          <w:szCs w:val="32"/>
          <w:highlight w:val="none"/>
          <w:lang w:val="en-US" w:eastAsia="zh-CN" w:bidi="ar-SA"/>
        </w:rPr>
        <w:t>万元、政府采购工程支出</w:t>
      </w:r>
      <w:r>
        <w:rPr>
          <w:rFonts w:hint="default" w:ascii="Times New Roman" w:hAnsi="Times New Roman" w:eastAsia="方正仿宋_GBK" w:cs="Times New Roman"/>
          <w:b/>
          <w:bCs/>
          <w:sz w:val="32"/>
          <w:szCs w:val="32"/>
        </w:rPr>
        <w:t>0</w:t>
      </w:r>
      <w:r>
        <w:rPr>
          <w:rFonts w:hint="default" w:ascii="Times New Roman" w:hAnsi="Times New Roman" w:eastAsia="方正仿宋_GBK" w:cs="Times New Roman"/>
          <w:color w:val="auto"/>
          <w:kern w:val="2"/>
          <w:sz w:val="32"/>
          <w:szCs w:val="32"/>
          <w:highlight w:val="none"/>
          <w:lang w:val="en-US" w:eastAsia="zh-CN" w:bidi="ar-SA"/>
        </w:rPr>
        <w:t>万元、政府采购服务支出</w:t>
      </w:r>
      <w:r>
        <w:rPr>
          <w:rFonts w:hint="default" w:ascii="Times New Roman" w:hAnsi="Times New Roman" w:eastAsia="方正仿宋_GBK" w:cs="Times New Roman"/>
          <w:b/>
          <w:bCs/>
          <w:sz w:val="32"/>
          <w:szCs w:val="32"/>
        </w:rPr>
        <w:t>14.15</w:t>
      </w:r>
      <w:r>
        <w:rPr>
          <w:rFonts w:hint="default" w:ascii="Times New Roman" w:hAnsi="Times New Roman" w:eastAsia="方正仿宋_GBK" w:cs="Times New Roman"/>
          <w:color w:val="auto"/>
          <w:kern w:val="2"/>
          <w:sz w:val="32"/>
          <w:szCs w:val="32"/>
          <w:highlight w:val="none"/>
          <w:lang w:val="en-US" w:eastAsia="zh-CN" w:bidi="ar-SA"/>
        </w:rPr>
        <w:t>万元。主要用于公务用车保险费、燃油费、维修费何办公设备采购。授予中小企业合同金额</w:t>
      </w:r>
      <w:r>
        <w:rPr>
          <w:rFonts w:hint="default" w:ascii="Times New Roman" w:hAnsi="Times New Roman" w:eastAsia="方正仿宋_GBK" w:cs="Times New Roman"/>
          <w:b/>
          <w:bCs/>
          <w:sz w:val="32"/>
          <w:szCs w:val="32"/>
        </w:rPr>
        <w:t>24.18</w:t>
      </w:r>
      <w:r>
        <w:rPr>
          <w:rFonts w:hint="default" w:ascii="Times New Roman" w:hAnsi="Times New Roman" w:eastAsia="方正仿宋_GBK" w:cs="Times New Roman"/>
          <w:color w:val="auto"/>
          <w:kern w:val="2"/>
          <w:sz w:val="32"/>
          <w:szCs w:val="32"/>
          <w:highlight w:val="none"/>
          <w:lang w:val="en-US" w:eastAsia="zh-CN" w:bidi="ar-SA"/>
        </w:rPr>
        <w:t>万元，占政府采购支出总额的</w:t>
      </w:r>
      <w:r>
        <w:rPr>
          <w:rFonts w:hint="default" w:ascii="Times New Roman" w:hAnsi="Times New Roman" w:eastAsia="方正仿宋_GBK" w:cs="Times New Roman"/>
          <w:b/>
          <w:bCs/>
          <w:sz w:val="32"/>
          <w:szCs w:val="32"/>
        </w:rPr>
        <w:t>88.96</w:t>
      </w: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，其中：授予小微企业合同金额</w:t>
      </w:r>
      <w:r>
        <w:rPr>
          <w:rFonts w:hint="default" w:ascii="Times New Roman" w:hAnsi="Times New Roman" w:eastAsia="方正仿宋_GBK" w:cs="Times New Roman"/>
          <w:b/>
          <w:bCs/>
          <w:sz w:val="32"/>
          <w:szCs w:val="32"/>
        </w:rPr>
        <w:t>13.88</w:t>
      </w:r>
      <w:r>
        <w:rPr>
          <w:rFonts w:hint="default" w:ascii="Times New Roman" w:hAnsi="Times New Roman" w:eastAsia="方正仿宋_GBK" w:cs="Times New Roman"/>
          <w:color w:val="auto"/>
          <w:kern w:val="2"/>
          <w:sz w:val="32"/>
          <w:szCs w:val="32"/>
          <w:highlight w:val="none"/>
          <w:lang w:val="en-US" w:eastAsia="zh-CN" w:bidi="ar-SA"/>
        </w:rPr>
        <w:t>万元，占政府采购支出总额的</w:t>
      </w:r>
      <w:r>
        <w:rPr>
          <w:rFonts w:hint="default" w:ascii="Times New Roman" w:hAnsi="Times New Roman" w:eastAsia="方正仿宋_GBK" w:cs="Times New Roman"/>
          <w:b/>
          <w:bCs/>
          <w:sz w:val="32"/>
          <w:szCs w:val="32"/>
        </w:rPr>
        <w:t>51.08</w:t>
      </w:r>
      <w:r>
        <w:rPr>
          <w:rFonts w:hint="default" w:ascii="Times New Roman" w:hAnsi="Times New Roman" w:eastAsia="方正仿宋_GBK" w:cs="Times New Roman"/>
          <w:b/>
          <w:bCs/>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w:t>
      </w:r>
    </w:p>
    <w:p w14:paraId="76E3E98A">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bookmarkStart w:id="73" w:name="_Toc15377224"/>
      <w:r>
        <w:rPr>
          <w:rFonts w:hint="eastAsia" w:ascii="方正楷体_GBK" w:hAnsi="方正楷体_GBK" w:eastAsia="方正楷体_GBK" w:cs="方正楷体_GBK"/>
          <w:b/>
          <w:color w:val="auto"/>
          <w:sz w:val="32"/>
          <w:szCs w:val="32"/>
          <w:highlight w:val="none"/>
        </w:rPr>
        <w:t>（三）国有资产占有使用情况</w:t>
      </w:r>
      <w:bookmarkEnd w:id="73"/>
    </w:p>
    <w:p w14:paraId="7876111F">
      <w:pPr>
        <w:autoSpaceDE w:val="0"/>
        <w:autoSpaceDN w:val="0"/>
        <w:adjustRightInd w:val="0"/>
        <w:spacing w:line="240" w:lineRule="auto"/>
        <w:ind w:firstLine="640" w:firstLineChars="200"/>
        <w:jc w:val="left"/>
        <w:rPr>
          <w:rFonts w:hint="eastAsia"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方正仿宋_GBK" w:cs="Times New Roman"/>
          <w:sz w:val="32"/>
          <w:szCs w:val="32"/>
        </w:rPr>
        <w:t>截至</w:t>
      </w:r>
      <w:r>
        <w:rPr>
          <w:rFonts w:hint="default" w:ascii="Times New Roman" w:hAnsi="Times New Roman" w:eastAsia="方正仿宋_GBK" w:cs="Times New Roman"/>
          <w:b/>
          <w:bCs/>
          <w:sz w:val="32"/>
          <w:szCs w:val="32"/>
        </w:rPr>
        <w:t>202</w:t>
      </w: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b/>
          <w:bCs/>
          <w:sz w:val="32"/>
          <w:szCs w:val="32"/>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b/>
          <w:bCs/>
          <w:sz w:val="32"/>
          <w:szCs w:val="32"/>
        </w:rPr>
        <w:t>31</w:t>
      </w:r>
      <w:r>
        <w:rPr>
          <w:rFonts w:hint="default" w:ascii="Times New Roman" w:hAnsi="Times New Roman" w:eastAsia="方正仿宋_GBK" w:cs="Times New Roman"/>
          <w:sz w:val="32"/>
          <w:szCs w:val="32"/>
        </w:rPr>
        <w:t>日，</w:t>
      </w:r>
      <w:r>
        <w:rPr>
          <w:rFonts w:eastAsia="方正仿宋_GBK"/>
          <w:sz w:val="32"/>
          <w:szCs w:val="32"/>
        </w:rPr>
        <w:t>攀枝花市纪委监委</w:t>
      </w:r>
      <w:r>
        <w:rPr>
          <w:rFonts w:hint="default" w:ascii="Times New Roman" w:hAnsi="Times New Roman" w:eastAsia="方正仿宋_GBK" w:cs="Times New Roman"/>
          <w:sz w:val="32"/>
          <w:szCs w:val="32"/>
        </w:rPr>
        <w:t>共有车辆</w:t>
      </w:r>
      <w:r>
        <w:rPr>
          <w:rFonts w:hint="default" w:ascii="Times New Roman" w:hAnsi="Times New Roman" w:eastAsia="方正仿宋_GBK" w:cs="Times New Roman"/>
          <w:b/>
          <w:sz w:val="32"/>
          <w:szCs w:val="32"/>
        </w:rPr>
        <w:t>1</w:t>
      </w:r>
      <w:r>
        <w:rPr>
          <w:rFonts w:hint="default" w:ascii="Times New Roman" w:hAnsi="Times New Roman" w:eastAsia="方正仿宋_GBK" w:cs="Times New Roman"/>
          <w:b/>
          <w:sz w:val="32"/>
          <w:szCs w:val="32"/>
          <w:lang w:val="en-US" w:eastAsia="zh-CN"/>
        </w:rPr>
        <w:t>8</w:t>
      </w:r>
      <w:r>
        <w:rPr>
          <w:rFonts w:hint="default" w:ascii="Times New Roman" w:hAnsi="Times New Roman" w:eastAsia="方正仿宋_GBK" w:cs="Times New Roman"/>
          <w:sz w:val="32"/>
          <w:szCs w:val="32"/>
        </w:rPr>
        <w:t>辆，其中：主要领导干部用车</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辆、机要通信用车</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辆、应急保障用车</w:t>
      </w:r>
      <w:r>
        <w:rPr>
          <w:rFonts w:hint="default" w:ascii="Times New Roman" w:hAnsi="Times New Roman" w:eastAsia="方正仿宋_GBK" w:cs="Times New Roman"/>
          <w:b/>
          <w:bCs/>
          <w:sz w:val="32"/>
          <w:szCs w:val="32"/>
          <w:lang w:eastAsia="zh-CN"/>
        </w:rPr>
        <w:t>0</w:t>
      </w:r>
      <w:r>
        <w:rPr>
          <w:rFonts w:hint="default" w:ascii="Times New Roman" w:hAnsi="Times New Roman" w:eastAsia="方正仿宋_GBK" w:cs="Times New Roman"/>
          <w:sz w:val="32"/>
          <w:szCs w:val="32"/>
        </w:rPr>
        <w:t>辆、</w:t>
      </w:r>
      <w:r>
        <w:rPr>
          <w:rFonts w:hint="default" w:ascii="Times New Roman" w:hAnsi="Times New Roman" w:eastAsia="方正仿宋_GBK" w:cs="Times New Roman"/>
          <w:color w:val="000000"/>
          <w:kern w:val="0"/>
          <w:sz w:val="32"/>
          <w:szCs w:val="32"/>
        </w:rPr>
        <w:t>执法执勤车</w:t>
      </w:r>
      <w:r>
        <w:rPr>
          <w:rFonts w:hint="default" w:ascii="Times New Roman" w:hAnsi="Times New Roman" w:eastAsia="方正仿宋_GBK" w:cs="Times New Roman"/>
          <w:b/>
          <w:bCs/>
          <w:color w:val="000000"/>
          <w:kern w:val="0"/>
          <w:sz w:val="32"/>
          <w:szCs w:val="32"/>
          <w:lang w:val="en-US" w:eastAsia="zh-CN"/>
        </w:rPr>
        <w:t>16</w:t>
      </w:r>
      <w:r>
        <w:rPr>
          <w:rFonts w:hint="default" w:ascii="Times New Roman" w:hAnsi="Times New Roman" w:eastAsia="方正仿宋_GBK" w:cs="Times New Roman"/>
          <w:color w:val="000000"/>
          <w:kern w:val="0"/>
          <w:sz w:val="32"/>
          <w:szCs w:val="32"/>
        </w:rPr>
        <w:t>辆</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sz w:val="32"/>
          <w:szCs w:val="32"/>
        </w:rPr>
        <w:t>其他用车</w:t>
      </w: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sz w:val="32"/>
          <w:szCs w:val="32"/>
        </w:rPr>
        <w:t>辆，其他用车主要是用于</w:t>
      </w:r>
      <w:r>
        <w:rPr>
          <w:rFonts w:hint="default" w:ascii="Times New Roman" w:hAnsi="Times New Roman" w:eastAsia="方正仿宋_GBK" w:cs="Times New Roman"/>
          <w:sz w:val="32"/>
          <w:szCs w:val="32"/>
          <w:lang w:val="en-US" w:eastAsia="zh-CN"/>
        </w:rPr>
        <w:t>案件办理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走访调研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监督检查</w:t>
      </w:r>
      <w:r>
        <w:rPr>
          <w:rFonts w:hint="default" w:ascii="Times New Roman" w:hAnsi="Times New Roman" w:eastAsia="方正仿宋_GBK" w:cs="Times New Roman"/>
          <w:sz w:val="32"/>
          <w:szCs w:val="32"/>
        </w:rPr>
        <w:t>工作等。单价</w:t>
      </w:r>
      <w:r>
        <w:rPr>
          <w:rFonts w:hint="default" w:ascii="Times New Roman" w:hAnsi="Times New Roman" w:eastAsia="方正仿宋_GBK" w:cs="Times New Roman"/>
          <w:b/>
          <w:bCs/>
          <w:sz w:val="32"/>
          <w:szCs w:val="32"/>
        </w:rPr>
        <w:t>100</w:t>
      </w:r>
      <w:r>
        <w:rPr>
          <w:rFonts w:hint="default" w:ascii="Times New Roman" w:hAnsi="Times New Roman" w:eastAsia="方正仿宋_GBK" w:cs="Times New Roman"/>
          <w:sz w:val="32"/>
          <w:szCs w:val="32"/>
        </w:rPr>
        <w:t>万元以上设备（不含车辆）</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台（套）。</w:t>
      </w:r>
    </w:p>
    <w:p w14:paraId="2A08DB14">
      <w:pPr>
        <w:spacing w:line="240" w:lineRule="auto"/>
        <w:ind w:firstLine="643" w:firstLineChars="200"/>
        <w:outlineLvl w:val="9"/>
        <w:rPr>
          <w:rFonts w:hint="eastAsia" w:ascii="方正楷体_GBK" w:hAnsi="方正楷体_GBK" w:eastAsia="方正楷体_GBK" w:cs="方正楷体_GBK"/>
          <w:b/>
          <w:color w:val="auto"/>
          <w:sz w:val="32"/>
          <w:szCs w:val="32"/>
          <w:highlight w:val="none"/>
        </w:rPr>
      </w:pPr>
      <w:r>
        <w:rPr>
          <w:rFonts w:hint="eastAsia" w:ascii="方正楷体_GBK" w:hAnsi="方正楷体_GBK" w:eastAsia="方正楷体_GBK" w:cs="方正楷体_GBK"/>
          <w:b/>
          <w:color w:val="auto"/>
          <w:sz w:val="32"/>
          <w:szCs w:val="32"/>
          <w:highlight w:val="none"/>
        </w:rPr>
        <w:t>（四）预算绩效管理情况</w:t>
      </w:r>
    </w:p>
    <w:p w14:paraId="080C6CE0">
      <w:pPr>
        <w:spacing w:line="240" w:lineRule="auto"/>
        <w:ind w:firstLine="640" w:firstLineChars="200"/>
        <w:rPr>
          <w:rFonts w:hint="default" w:ascii="Times New Roman" w:hAnsi="Times New Roman" w:eastAsia="方正仿宋_GBK" w:cs="Times New Roman"/>
          <w:sz w:val="32"/>
          <w:szCs w:val="32"/>
        </w:rPr>
      </w:pPr>
      <w:bookmarkStart w:id="74" w:name="_Toc15377225"/>
      <w:bookmarkStart w:id="75" w:name="_Toc15396613"/>
      <w:r>
        <w:rPr>
          <w:rFonts w:hint="default" w:ascii="Times New Roman" w:hAnsi="Times New Roman" w:eastAsia="方正仿宋_GBK" w:cs="Times New Roman"/>
          <w:sz w:val="32"/>
          <w:szCs w:val="32"/>
        </w:rPr>
        <w:t>根据预算绩效管理要求，本部门在</w:t>
      </w:r>
      <w:r>
        <w:rPr>
          <w:rFonts w:hint="default" w:ascii="Times New Roman" w:hAnsi="Times New Roman" w:eastAsia="方正仿宋_GBK" w:cs="Times New Roman"/>
          <w:b/>
          <w:bCs/>
          <w:sz w:val="32"/>
          <w:szCs w:val="32"/>
        </w:rPr>
        <w:t>202</w:t>
      </w:r>
      <w:r>
        <w:rPr>
          <w:rFonts w:hint="default"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sz w:val="32"/>
          <w:szCs w:val="32"/>
        </w:rPr>
        <w:t>年度预算编制阶段，组织对</w:t>
      </w:r>
      <w:r>
        <w:rPr>
          <w:rFonts w:hint="default" w:ascii="Times New Roman" w:hAnsi="Times New Roman" w:eastAsia="方正仿宋_GBK" w:cs="Times New Roman"/>
          <w:sz w:val="32"/>
          <w:szCs w:val="32"/>
          <w:lang w:val="en-US" w:eastAsia="zh-CN"/>
        </w:rPr>
        <w:t>纪委监委综合业务费</w:t>
      </w:r>
      <w:r>
        <w:rPr>
          <w:rFonts w:hint="default" w:ascii="Times New Roman" w:hAnsi="Times New Roman" w:eastAsia="方正仿宋_GBK" w:cs="Times New Roman"/>
          <w:sz w:val="32"/>
          <w:szCs w:val="32"/>
        </w:rPr>
        <w:t>、市委巡察工作经费等</w:t>
      </w:r>
      <w:r>
        <w:rPr>
          <w:rFonts w:hint="default" w:ascii="Times New Roman" w:hAnsi="Times New Roman" w:eastAsia="方正仿宋_GBK" w:cs="Times New Roman"/>
          <w:b/>
          <w:bCs/>
          <w:sz w:val="32"/>
          <w:szCs w:val="32"/>
          <w:lang w:val="en-US" w:eastAsia="zh-CN"/>
        </w:rPr>
        <w:t>10</w:t>
      </w:r>
      <w:r>
        <w:rPr>
          <w:rFonts w:hint="default" w:ascii="Times New Roman" w:hAnsi="Times New Roman" w:eastAsia="方正仿宋_GBK" w:cs="Times New Roman"/>
          <w:sz w:val="32"/>
          <w:szCs w:val="32"/>
        </w:rPr>
        <w:t>个项目开展了预算事前绩效评估，对</w:t>
      </w:r>
      <w:r>
        <w:rPr>
          <w:rFonts w:hint="default" w:ascii="Times New Roman" w:hAnsi="Times New Roman" w:eastAsia="方正仿宋_GBK" w:cs="Times New Roman"/>
          <w:b/>
          <w:bCs/>
          <w:sz w:val="32"/>
          <w:szCs w:val="32"/>
          <w:lang w:val="en-US" w:eastAsia="zh-CN"/>
        </w:rPr>
        <w:t>10</w:t>
      </w:r>
      <w:r>
        <w:rPr>
          <w:rFonts w:hint="default" w:ascii="Times New Roman" w:hAnsi="Times New Roman" w:eastAsia="方正仿宋_GBK" w:cs="Times New Roman"/>
          <w:sz w:val="32"/>
          <w:szCs w:val="32"/>
        </w:rPr>
        <w:t>个项目编制了绩效目标，预算执行过程中，选取</w:t>
      </w:r>
      <w:r>
        <w:rPr>
          <w:rFonts w:hint="default" w:ascii="Times New Roman" w:hAnsi="Times New Roman" w:eastAsia="方正仿宋_GBK" w:cs="Times New Roman"/>
          <w:b/>
          <w:bCs/>
          <w:sz w:val="32"/>
          <w:szCs w:val="32"/>
          <w:lang w:val="en-US" w:eastAsia="zh-CN"/>
        </w:rPr>
        <w:t>10</w:t>
      </w:r>
      <w:r>
        <w:rPr>
          <w:rFonts w:hint="default" w:ascii="Times New Roman" w:hAnsi="Times New Roman" w:eastAsia="方正仿宋_GBK" w:cs="Times New Roman"/>
          <w:sz w:val="32"/>
          <w:szCs w:val="32"/>
        </w:rPr>
        <w:t>个项目开展绩效监控。</w:t>
      </w:r>
    </w:p>
    <w:p w14:paraId="7FB12293">
      <w:pPr>
        <w:spacing w:line="240" w:lineRule="auto"/>
        <w:ind w:firstLine="640" w:firstLineChars="200"/>
      </w:pPr>
      <w:r>
        <w:rPr>
          <w:rFonts w:hint="default" w:ascii="Times New Roman" w:hAnsi="Times New Roman" w:eastAsia="方正仿宋_GBK" w:cs="Times New Roman"/>
          <w:sz w:val="32"/>
          <w:szCs w:val="32"/>
        </w:rPr>
        <w:t>组织对</w:t>
      </w:r>
      <w:r>
        <w:rPr>
          <w:rFonts w:hint="default" w:ascii="Times New Roman" w:hAnsi="Times New Roman" w:eastAsia="方正仿宋_GBK" w:cs="Times New Roman"/>
          <w:b/>
          <w:bCs/>
          <w:sz w:val="32"/>
          <w:szCs w:val="32"/>
        </w:rPr>
        <w:t>202</w:t>
      </w:r>
      <w:r>
        <w:rPr>
          <w:rFonts w:hint="default"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sz w:val="32"/>
          <w:szCs w:val="32"/>
        </w:rPr>
        <w:t>年度一般公共预算、政府性基金预算、国有资本经营预算、社会保险基金预算以及资本资产、债券资金等全面开展绩效自评，形成攀枝花市纪委监委部门整体（含部门预算项目）绩效自评报告。其中，攀枝花市纪委监委部门整体（含部门预算项目）绩效自评得分为</w:t>
      </w:r>
      <w:r>
        <w:rPr>
          <w:rFonts w:hint="eastAsia" w:ascii="Times New Roman" w:hAnsi="Times New Roman" w:eastAsia="方正仿宋_GBK" w:cs="Times New Roman"/>
          <w:b/>
          <w:bCs/>
          <w:sz w:val="32"/>
          <w:szCs w:val="32"/>
          <w:lang w:val="en-US" w:eastAsia="zh-CN"/>
        </w:rPr>
        <w:t>94.16</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绩效自评综述：</w:t>
      </w:r>
      <w:r>
        <w:rPr>
          <w:rFonts w:hint="default" w:ascii="Times New Roman" w:hAnsi="Times New Roman" w:eastAsia="方正仿宋_GBK" w:cs="Times New Roman"/>
          <w:b/>
          <w:bCs/>
          <w:sz w:val="32"/>
          <w:szCs w:val="32"/>
        </w:rPr>
        <w:t>202</w:t>
      </w:r>
      <w:r>
        <w:rPr>
          <w:rFonts w:hint="default"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sz w:val="32"/>
          <w:szCs w:val="32"/>
        </w:rPr>
        <w:t>年度，攀枝花市纪委监委认真贯彻落实党中央要求，切实履行绩效管理的主体责任，按照预算绩效管理一体化的要求，努力将绩效管理融入预算编制、预算执行、预算监督全过程。以提升资金使用效益、保障项目顺利实施、确保政策有效落地为目标，将绩效监督贯穿于资金管理、项目推进和政策执行的全过程。通过开展事前绩效评估、事中监督管理、事后分析整改，严格绩效目标管理，强化绩效运行监控，完善绩效自评机制，结合纪检监察工作实际，加强资产配置管理，强化预算支出的责任和效率，严格控制行政运行成本，持续提升财政资金的使用效益。绩效自评报告详见附件（第四部分）。</w:t>
      </w:r>
    </w:p>
    <w:p w14:paraId="39766D1D">
      <w:pPr>
        <w:numPr>
          <w:ilvl w:val="0"/>
          <w:numId w:val="0"/>
        </w:numPr>
        <w:spacing w:line="600" w:lineRule="exact"/>
        <w:jc w:val="center"/>
        <w:outlineLvl w:val="9"/>
        <w:rPr>
          <w:rFonts w:hint="eastAsia" w:ascii="Times New Roman" w:hAnsi="Times New Roman" w:eastAsia="黑体"/>
          <w:color w:val="auto"/>
          <w:sz w:val="44"/>
          <w:szCs w:val="44"/>
          <w:highlight w:val="none"/>
        </w:rPr>
      </w:pPr>
    </w:p>
    <w:p w14:paraId="13C0DAC8">
      <w:pPr>
        <w:numPr>
          <w:ilvl w:val="0"/>
          <w:numId w:val="0"/>
        </w:numPr>
        <w:spacing w:line="600" w:lineRule="exact"/>
        <w:jc w:val="center"/>
        <w:outlineLvl w:val="9"/>
        <w:rPr>
          <w:rFonts w:hint="eastAsia" w:ascii="Times New Roman" w:hAnsi="Times New Roman" w:eastAsia="黑体"/>
          <w:color w:val="auto"/>
          <w:sz w:val="44"/>
          <w:szCs w:val="44"/>
          <w:highlight w:val="none"/>
        </w:rPr>
      </w:pPr>
    </w:p>
    <w:p w14:paraId="2500DB4C">
      <w:pPr>
        <w:numPr>
          <w:ilvl w:val="0"/>
          <w:numId w:val="0"/>
        </w:numPr>
        <w:spacing w:line="600" w:lineRule="exact"/>
        <w:jc w:val="center"/>
        <w:outlineLvl w:val="9"/>
        <w:rPr>
          <w:rFonts w:hint="eastAsia" w:ascii="Times New Roman" w:hAnsi="Times New Roman" w:eastAsia="黑体"/>
          <w:color w:val="auto"/>
          <w:sz w:val="44"/>
          <w:szCs w:val="44"/>
          <w:highlight w:val="none"/>
        </w:rPr>
      </w:pPr>
    </w:p>
    <w:p w14:paraId="2BF6B1B2">
      <w:pPr>
        <w:numPr>
          <w:ilvl w:val="0"/>
          <w:numId w:val="0"/>
        </w:numPr>
        <w:spacing w:line="600" w:lineRule="exact"/>
        <w:jc w:val="center"/>
        <w:outlineLvl w:val="9"/>
        <w:rPr>
          <w:rFonts w:hint="eastAsia" w:ascii="Times New Roman" w:hAnsi="Times New Roman" w:eastAsia="黑体"/>
          <w:color w:val="auto"/>
          <w:sz w:val="44"/>
          <w:szCs w:val="44"/>
          <w:highlight w:val="none"/>
        </w:rPr>
      </w:pPr>
    </w:p>
    <w:p w14:paraId="697862AE">
      <w:pPr>
        <w:numPr>
          <w:ilvl w:val="0"/>
          <w:numId w:val="0"/>
        </w:numPr>
        <w:spacing w:line="600" w:lineRule="exact"/>
        <w:jc w:val="center"/>
        <w:outlineLvl w:val="0"/>
        <w:rPr>
          <w:rFonts w:hint="eastAsia" w:ascii="Times New Roman" w:hAnsi="Times New Roman" w:eastAsia="宋体"/>
          <w:b/>
          <w:color w:val="auto"/>
          <w:sz w:val="44"/>
          <w:szCs w:val="44"/>
          <w:highlight w:val="none"/>
          <w:lang w:eastAsia="zh-CN"/>
        </w:rPr>
      </w:pPr>
      <w:bookmarkStart w:id="76" w:name="_Toc27999"/>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74"/>
      <w:bookmarkEnd w:id="75"/>
      <w:bookmarkEnd w:id="76"/>
    </w:p>
    <w:p w14:paraId="4E1C6CFA">
      <w:pPr>
        <w:spacing w:line="240" w:lineRule="auto"/>
        <w:ind w:firstLine="640"/>
        <w:rPr>
          <w:rFonts w:hint="default" w:ascii="Times New Roman" w:hAnsi="Times New Roman" w:eastAsia="方正仿宋_GBK" w:cs="Times New Roman"/>
          <w:sz w:val="32"/>
          <w:szCs w:val="32"/>
        </w:rPr>
      </w:pPr>
      <w:bookmarkStart w:id="77" w:name="_Toc15377226"/>
      <w:r>
        <w:rPr>
          <w:rFonts w:hint="default" w:ascii="Times New Roman" w:hAnsi="Times New Roman" w:eastAsia="方正仿宋_GBK" w:cs="Times New Roman"/>
          <w:sz w:val="32"/>
          <w:szCs w:val="32"/>
        </w:rPr>
        <w:t>1．财政拨款收入：指单位从同级财政部门取得的财政预算资金。</w:t>
      </w:r>
    </w:p>
    <w:p w14:paraId="735EA0E8">
      <w:pPr>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2．经营收入：指事业单位在专业业务活动及其辅助活动之外开展非独立核算经营活动取得的收入。</w:t>
      </w:r>
    </w:p>
    <w:p w14:paraId="60EB38F4">
      <w:pPr>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3．其他收入：指单位取得的除上述收入以外的各项收入。主要是单位的存款利息收入等。</w:t>
      </w:r>
    </w:p>
    <w:p w14:paraId="63DF63BD">
      <w:pPr>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4．年初结转和结余：指以前年度尚未完成、结转到本年按有关规定继续使用的资金。</w:t>
      </w:r>
    </w:p>
    <w:p w14:paraId="79F51E94">
      <w:pPr>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5．年末结转和结余：指单位按有关规定结转到下年或以后年度继续使用的资金。</w:t>
      </w:r>
    </w:p>
    <w:p w14:paraId="7B47ADBE">
      <w:pPr>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6．一般公共服务一般公共服务（类）纪检监察事务（款）行政运行（项）：指用于机机关职工基本工资、津贴补贴等人员经费的发放，以及行政单位的基本支出。</w:t>
      </w:r>
    </w:p>
    <w:p w14:paraId="5771E9A0">
      <w:pPr>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一般公共服务（类）纪检监察事务（款）一般行政管理事务（项）：指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19C0FCB5">
      <w:pPr>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8．一般公共服务（类）纪检监察事务（款）其他纪检监察事务支出（项）：指其他纪检监察事务方面的支出。</w:t>
      </w:r>
    </w:p>
    <w:p w14:paraId="2BA69B5B">
      <w:pPr>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9．一般公共服务（类）组织事务（款）其他组织事务支出（项）：指市级挂职干部人才补助经费。</w:t>
      </w:r>
    </w:p>
    <w:p w14:paraId="0F3FECCD">
      <w:pPr>
        <w:keepNext w:val="0"/>
        <w:keepLines w:val="0"/>
        <w:pageBreakBefore w:val="0"/>
        <w:widowControl w:val="0"/>
        <w:kinsoku/>
        <w:wordWrap/>
        <w:overflowPunct/>
        <w:topLinePunct w:val="0"/>
        <w:autoSpaceDE/>
        <w:autoSpaceDN/>
        <w:bidi w:val="0"/>
        <w:adjustRightInd/>
        <w:snapToGrid/>
        <w:spacing w:line="240" w:lineRule="auto"/>
        <w:ind w:firstLine="641"/>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10．社会保障和就业（类）行政事业单位养老支出（款）行政单位离退休（项）：指离退休人员离退休费及公用经费。</w:t>
      </w:r>
    </w:p>
    <w:p w14:paraId="6F0375E6">
      <w:pPr>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11．社会保障和就业（类）行政事业单位离退休（款）机关事业单位基本养老保险缴费支出（项）：指机关事业单位并轨后基本养老保险缴费支出。</w:t>
      </w:r>
    </w:p>
    <w:p w14:paraId="2CF3D262">
      <w:pPr>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12．社会保障和就业（类）人力资源和社会保障管理事务（款）其他人力资源和社会保障管理事务支出（项）：指其他用于人力资源和社会保障管理事务方面的支出。</w:t>
      </w:r>
    </w:p>
    <w:p w14:paraId="30F33CCC">
      <w:pPr>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13．社会保障和就业（类）社会福利（款）儿童福利（项）：指关工委关心下一代专项资金。</w:t>
      </w:r>
    </w:p>
    <w:p w14:paraId="6ECFBD57">
      <w:pPr>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14．卫生健康支出（类）行政事业单位医疗（款）其他行政事业单位医疗支出（项）：指单位职工其他医疗保障支出。</w:t>
      </w:r>
    </w:p>
    <w:p w14:paraId="2A20418C">
      <w:pPr>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15．卫生健康支出（类）其他卫生健康支出（款）其他卫生健康支出（项）：指其他用于卫生健康方面的支出</w:t>
      </w:r>
    </w:p>
    <w:p w14:paraId="2420B286">
      <w:pPr>
        <w:spacing w:line="24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16．住房保障支出（类）住房改革支出（款）住房公积金（项）：指职工住房公积金支出。</w:t>
      </w:r>
    </w:p>
    <w:p w14:paraId="0142BFB9">
      <w:pPr>
        <w:spacing w:line="24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17．城乡社区支出（类）城乡社区公共设施（款）其他城乡社区公共设施支出（项）：指其他用于城乡社区公共设施方面的支出。</w:t>
      </w:r>
    </w:p>
    <w:p w14:paraId="0336E82C">
      <w:pPr>
        <w:spacing w:line="24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18．农林水支出（类）农业农村（款）其他农业农村支出（项）：指其他用于农业农村方面的支出。</w:t>
      </w:r>
    </w:p>
    <w:p w14:paraId="5F82AE8C">
      <w:pPr>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19．基本支出：指为保障机构正常运转、完成日常工作任务而发生的人员支出和公用支出。</w:t>
      </w:r>
    </w:p>
    <w:p w14:paraId="5023B3A8">
      <w:pPr>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20．项目支出：指在基本支出之外为完成特定行政任务和事业发展目标所发生的支出。 </w:t>
      </w:r>
    </w:p>
    <w:p w14:paraId="35FAF5CF">
      <w:pPr>
        <w:spacing w:line="240" w:lineRule="auto"/>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47E5350">
      <w:pPr>
        <w:spacing w:line="240" w:lineRule="auto"/>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A222B49">
      <w:pPr>
        <w:spacing w:line="24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23．事业收入：指事业单位开展专业业务活动及辅助活动取得的收入。</w:t>
      </w:r>
    </w:p>
    <w:p w14:paraId="30151451">
      <w:pPr>
        <w:spacing w:line="600" w:lineRule="exact"/>
        <w:jc w:val="center"/>
        <w:outlineLvl w:val="0"/>
        <w:rPr>
          <w:rFonts w:hint="eastAsia" w:ascii="Times New Roman" w:hAnsi="Times New Roman" w:eastAsia="黑体" w:cs="黑体"/>
          <w:color w:val="FF0000"/>
          <w:sz w:val="32"/>
          <w:szCs w:val="32"/>
          <w:highlight w:val="none"/>
        </w:rPr>
      </w:pPr>
      <w:r>
        <w:rPr>
          <w:rFonts w:hint="eastAsia" w:ascii="Times New Roman" w:hAnsi="Times New Roman" w:eastAsia="仿宋_GB2312" w:cs="仿宋_GB2312"/>
          <w:color w:val="auto"/>
          <w:kern w:val="2"/>
          <w:sz w:val="32"/>
          <w:szCs w:val="32"/>
          <w:highlight w:val="none"/>
          <w:lang w:val="en-US" w:eastAsia="zh-CN" w:bidi="ar-SA"/>
        </w:rPr>
        <w:br w:type="page"/>
      </w:r>
      <w:bookmarkStart w:id="78" w:name="_Toc15396614"/>
      <w:bookmarkStart w:id="79" w:name="_Toc6126"/>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78"/>
      <w:bookmarkEnd w:id="79"/>
    </w:p>
    <w:p w14:paraId="3B2C1718">
      <w:pPr>
        <w:keepNext w:val="0"/>
        <w:keepLines w:val="0"/>
        <w:pageBreakBefore w:val="0"/>
        <w:kinsoku/>
        <w:wordWrap/>
        <w:overflowPunct/>
        <w:topLinePunct w:val="0"/>
        <w:autoSpaceDE/>
        <w:autoSpaceDN/>
        <w:bidi w:val="0"/>
        <w:spacing w:line="572" w:lineRule="exact"/>
        <w:jc w:val="left"/>
        <w:textAlignment w:val="auto"/>
        <w:outlineLvl w:val="9"/>
        <w:rPr>
          <w:rFonts w:hint="eastAsia" w:ascii="Times New Roman" w:hAnsi="Times New Roman" w:eastAsia="黑体" w:cs="方正小标宋简体"/>
          <w:color w:val="auto"/>
          <w:sz w:val="44"/>
          <w:szCs w:val="44"/>
          <w:highlight w:val="none"/>
          <w:lang w:val="en-US" w:eastAsia="zh-CN"/>
        </w:rPr>
      </w:pP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p>
    <w:p w14:paraId="06FAF542">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14:paraId="0152A74E">
      <w:pPr>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中共攀枝花市纪律检查委员会</w:t>
      </w:r>
    </w:p>
    <w:p w14:paraId="71E0EBD7">
      <w:pPr>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攀枝花市监察委员会</w:t>
      </w:r>
    </w:p>
    <w:p w14:paraId="459583F9">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2024年度</w:t>
      </w:r>
      <w:r>
        <w:rPr>
          <w:rFonts w:hint="eastAsia" w:ascii="方正小标宋_GBK" w:hAnsi="方正小标宋_GBK" w:eastAsia="方正小标宋_GBK" w:cs="方正小标宋_GBK"/>
          <w:b/>
          <w:bCs/>
          <w:sz w:val="44"/>
          <w:szCs w:val="44"/>
        </w:rPr>
        <w:t>部门预算绩效评价报告</w:t>
      </w:r>
    </w:p>
    <w:p w14:paraId="6B426BED">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58C99FA9">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eastAsia" w:ascii="Times New Roman" w:hAnsi="Times New Roman"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部门（单位）基本情况</w:t>
      </w:r>
    </w:p>
    <w:p w14:paraId="7BAF3B66">
      <w:pPr>
        <w:spacing w:line="240" w:lineRule="auto"/>
        <w:ind w:firstLine="640"/>
        <w:rPr>
          <w:rFonts w:hint="eastAsia" w:ascii="方正楷体_GBK" w:hAnsi="方正楷体_GBK" w:eastAsia="方正楷体_GBK" w:cs="方正楷体_GBK"/>
          <w:b/>
          <w:color w:val="auto"/>
          <w:sz w:val="32"/>
          <w:szCs w:val="32"/>
          <w:highlight w:val="none"/>
          <w:lang w:val="zh-CN"/>
        </w:rPr>
      </w:pPr>
      <w:r>
        <w:rPr>
          <w:rFonts w:hint="eastAsia" w:ascii="方正楷体_GBK" w:hAnsi="方正楷体_GBK" w:eastAsia="方正楷体_GBK" w:cs="方正楷体_GBK"/>
          <w:b/>
          <w:color w:val="auto"/>
          <w:sz w:val="32"/>
          <w:szCs w:val="32"/>
          <w:highlight w:val="none"/>
          <w:lang w:val="zh-CN"/>
        </w:rPr>
        <w:t>（一）机构组成</w:t>
      </w:r>
    </w:p>
    <w:p w14:paraId="6C6222C1">
      <w:pPr>
        <w:spacing w:line="240" w:lineRule="auto"/>
        <w:ind w:firstLine="640"/>
        <w:rPr>
          <w:rFonts w:hint="default" w:ascii="Times New Roman" w:hAnsi="Times New Roman" w:cs="Times New Roman"/>
          <w:sz w:val="32"/>
          <w:szCs w:val="32"/>
        </w:rPr>
      </w:pPr>
      <w:r>
        <w:rPr>
          <w:rFonts w:eastAsia="方正仿宋_GBK"/>
          <w:sz w:val="32"/>
          <w:szCs w:val="32"/>
        </w:rPr>
        <w:t>中共攀枝花市纪律检查委员会</w:t>
      </w:r>
      <w:r>
        <w:rPr>
          <w:rFonts w:hint="eastAsia" w:eastAsia="方正仿宋_GBK"/>
          <w:sz w:val="32"/>
          <w:szCs w:val="32"/>
        </w:rPr>
        <w:t xml:space="preserve"> </w:t>
      </w:r>
      <w:r>
        <w:rPr>
          <w:rFonts w:eastAsia="方正仿宋_GBK"/>
          <w:sz w:val="32"/>
          <w:szCs w:val="32"/>
        </w:rPr>
        <w:t>攀枝花市监察委员会内设机构</w:t>
      </w:r>
      <w:r>
        <w:rPr>
          <w:rFonts w:hint="default" w:ascii="Times New Roman" w:hAnsi="Times New Roman" w:eastAsia="方正仿宋_GBK" w:cs="Times New Roman"/>
          <w:b/>
          <w:bCs/>
          <w:sz w:val="32"/>
          <w:szCs w:val="32"/>
        </w:rPr>
        <w:t>23</w:t>
      </w:r>
      <w:r>
        <w:rPr>
          <w:rFonts w:eastAsia="方正仿宋_GBK"/>
          <w:sz w:val="32"/>
          <w:szCs w:val="32"/>
        </w:rPr>
        <w:t>个职能室部（含市委巡察办及</w:t>
      </w:r>
      <w:r>
        <w:rPr>
          <w:rFonts w:hint="default" w:ascii="Times New Roman" w:hAnsi="Times New Roman" w:eastAsia="方正仿宋_GBK" w:cs="Times New Roman"/>
          <w:b/>
          <w:bCs/>
          <w:sz w:val="32"/>
          <w:szCs w:val="32"/>
        </w:rPr>
        <w:t>4</w:t>
      </w:r>
      <w:r>
        <w:rPr>
          <w:rFonts w:eastAsia="方正仿宋_GBK"/>
          <w:sz w:val="32"/>
          <w:szCs w:val="32"/>
        </w:rPr>
        <w:t>个巡察组），其中：包括</w:t>
      </w:r>
      <w:r>
        <w:rPr>
          <w:rFonts w:hint="default" w:ascii="Times New Roman" w:hAnsi="Times New Roman" w:eastAsia="方正仿宋_GBK" w:cs="Times New Roman"/>
          <w:b/>
          <w:bCs/>
          <w:sz w:val="32"/>
          <w:szCs w:val="32"/>
        </w:rPr>
        <w:t>1－9</w:t>
      </w:r>
      <w:r>
        <w:rPr>
          <w:rFonts w:eastAsia="方正仿宋_GBK"/>
          <w:sz w:val="32"/>
          <w:szCs w:val="32"/>
        </w:rPr>
        <w:t>纪检监察室、信访室、组织部、宣传部、研究室、党风政风监督室、</w:t>
      </w:r>
      <w:r>
        <w:rPr>
          <w:rFonts w:hint="eastAsia" w:eastAsia="方正仿宋_GBK"/>
          <w:sz w:val="32"/>
          <w:szCs w:val="32"/>
        </w:rPr>
        <w:t>案件监督管理</w:t>
      </w:r>
      <w:r>
        <w:rPr>
          <w:rFonts w:eastAsia="方正仿宋_GBK"/>
          <w:sz w:val="32"/>
          <w:szCs w:val="32"/>
        </w:rPr>
        <w:t>室、</w:t>
      </w:r>
      <w:r>
        <w:rPr>
          <w:rFonts w:hint="eastAsia" w:eastAsia="方正仿宋_GBK"/>
          <w:sz w:val="32"/>
          <w:szCs w:val="32"/>
        </w:rPr>
        <w:t>案件</w:t>
      </w:r>
      <w:r>
        <w:rPr>
          <w:rFonts w:eastAsia="方正仿宋_GBK"/>
          <w:sz w:val="32"/>
          <w:szCs w:val="32"/>
        </w:rPr>
        <w:t>审理室、办公室、</w:t>
      </w:r>
      <w:r>
        <w:rPr>
          <w:rFonts w:hint="eastAsia" w:eastAsia="方正仿宋_GBK"/>
          <w:sz w:val="32"/>
          <w:szCs w:val="32"/>
        </w:rPr>
        <w:t>纪检监察</w:t>
      </w:r>
      <w:r>
        <w:rPr>
          <w:rFonts w:eastAsia="方正仿宋_GBK"/>
          <w:sz w:val="32"/>
          <w:szCs w:val="32"/>
        </w:rPr>
        <w:t>干</w:t>
      </w:r>
      <w:r>
        <w:rPr>
          <w:rFonts w:hint="eastAsia" w:eastAsia="方正仿宋_GBK"/>
          <w:sz w:val="32"/>
          <w:szCs w:val="32"/>
        </w:rPr>
        <w:t>部监督</w:t>
      </w:r>
      <w:r>
        <w:rPr>
          <w:rFonts w:eastAsia="方正仿宋_GBK"/>
          <w:sz w:val="32"/>
          <w:szCs w:val="32"/>
        </w:rPr>
        <w:t>室、机关党委。市委巡察办、</w:t>
      </w:r>
      <w:r>
        <w:rPr>
          <w:rFonts w:hint="default" w:ascii="Times New Roman" w:hAnsi="Times New Roman" w:eastAsia="方正仿宋_GBK" w:cs="Times New Roman"/>
          <w:b/>
          <w:bCs/>
          <w:sz w:val="32"/>
          <w:szCs w:val="32"/>
        </w:rPr>
        <w:t>4</w:t>
      </w:r>
      <w:r>
        <w:rPr>
          <w:rFonts w:eastAsia="方正仿宋_GBK"/>
          <w:sz w:val="32"/>
          <w:szCs w:val="32"/>
        </w:rPr>
        <w:t>个市委巡察组。下属公益一类事业单位</w:t>
      </w:r>
      <w:r>
        <w:rPr>
          <w:rFonts w:hint="default" w:ascii="Times New Roman" w:hAnsi="Times New Roman" w:eastAsia="方正仿宋_GBK" w:cs="Times New Roman"/>
          <w:b/>
          <w:bCs/>
          <w:sz w:val="32"/>
          <w:szCs w:val="32"/>
        </w:rPr>
        <w:t>2</w:t>
      </w:r>
      <w:r>
        <w:rPr>
          <w:rFonts w:eastAsia="方正仿宋_GBK"/>
          <w:sz w:val="32"/>
          <w:szCs w:val="32"/>
        </w:rPr>
        <w:t>个，主要包括攀枝花市纪检监察教育培训与信息中心</w:t>
      </w:r>
      <w:r>
        <w:rPr>
          <w:rFonts w:hint="eastAsia" w:eastAsia="方正仿宋_GBK"/>
          <w:sz w:val="32"/>
          <w:szCs w:val="32"/>
        </w:rPr>
        <w:t>、</w:t>
      </w:r>
      <w:r>
        <w:rPr>
          <w:rFonts w:eastAsia="方正仿宋_GBK"/>
          <w:sz w:val="32"/>
          <w:szCs w:val="32"/>
        </w:rPr>
        <w:t>攀枝花市巡察服务中心。</w:t>
      </w:r>
    </w:p>
    <w:p w14:paraId="241EFD2E">
      <w:pPr>
        <w:spacing w:line="240" w:lineRule="auto"/>
        <w:ind w:firstLine="640"/>
        <w:rPr>
          <w:rFonts w:hint="eastAsia" w:ascii="方正楷体_GBK" w:hAnsi="方正楷体_GBK" w:eastAsia="方正楷体_GBK" w:cs="方正楷体_GBK"/>
          <w:b/>
          <w:color w:val="auto"/>
          <w:sz w:val="32"/>
          <w:szCs w:val="32"/>
          <w:highlight w:val="none"/>
          <w:lang w:val="zh-CN"/>
        </w:rPr>
      </w:pPr>
      <w:r>
        <w:rPr>
          <w:rFonts w:hint="eastAsia" w:ascii="方正楷体_GBK" w:hAnsi="方正楷体_GBK" w:eastAsia="方正楷体_GBK" w:cs="方正楷体_GBK"/>
          <w:b/>
          <w:color w:val="auto"/>
          <w:sz w:val="32"/>
          <w:szCs w:val="32"/>
          <w:highlight w:val="none"/>
          <w:lang w:val="zh-CN"/>
        </w:rPr>
        <w:t>（</w:t>
      </w:r>
      <w:r>
        <w:rPr>
          <w:rFonts w:hint="eastAsia" w:ascii="方正楷体_GBK" w:hAnsi="方正楷体_GBK" w:eastAsia="方正楷体_GBK" w:cs="方正楷体_GBK"/>
          <w:b/>
          <w:color w:val="auto"/>
          <w:sz w:val="32"/>
          <w:szCs w:val="32"/>
          <w:highlight w:val="none"/>
          <w:lang w:val="en-US" w:eastAsia="zh-CN"/>
        </w:rPr>
        <w:t>二）</w:t>
      </w:r>
      <w:r>
        <w:rPr>
          <w:rFonts w:hint="default" w:ascii="方正楷体_GBK" w:hAnsi="方正楷体_GBK" w:eastAsia="方正楷体_GBK" w:cs="方正楷体_GBK"/>
          <w:b/>
          <w:color w:val="auto"/>
          <w:sz w:val="32"/>
          <w:szCs w:val="32"/>
          <w:highlight w:val="none"/>
          <w:lang w:val="zh-CN"/>
        </w:rPr>
        <w:t>机构职能</w:t>
      </w:r>
    </w:p>
    <w:p w14:paraId="28041FA4">
      <w:pPr>
        <w:numPr>
          <w:ilvl w:val="0"/>
          <w:numId w:val="0"/>
        </w:numPr>
        <w:spacing w:line="240" w:lineRule="auto"/>
        <w:ind w:firstLine="640" w:firstLineChars="200"/>
        <w:rPr>
          <w:rFonts w:eastAsia="方正仿宋_GBK"/>
          <w:sz w:val="32"/>
          <w:szCs w:val="32"/>
        </w:rPr>
      </w:pPr>
      <w:r>
        <w:rPr>
          <w:rFonts w:hint="eastAsia" w:eastAsia="方正仿宋_GBK"/>
          <w:sz w:val="32"/>
          <w:szCs w:val="32"/>
        </w:rPr>
        <w:t>一是负责党的纪律检查工作；二是依照党的章程和其他党内法规履行监督、执纪、问责职责；三是负责全市监察工作；四是依照法律规定履行监督、调查、处置职责；五是负责组织协调全面从严治党、党风廉政建设和反腐败宣传教育工作；六是负责综合分析全面从严治党、党风廉政建设和反腐败工作情况；七是协助市委管理、监督攀枝花纪检监察学院；八是完成市委、省纪委监委交办的其他任务。</w:t>
      </w:r>
    </w:p>
    <w:p w14:paraId="2C191ADD">
      <w:pPr>
        <w:spacing w:line="240" w:lineRule="auto"/>
        <w:ind w:firstLine="640"/>
        <w:rPr>
          <w:rFonts w:eastAsia="方正仿宋_GBK"/>
          <w:sz w:val="32"/>
          <w:szCs w:val="32"/>
        </w:rPr>
      </w:pPr>
      <w:r>
        <w:rPr>
          <w:rFonts w:hint="eastAsia" w:eastAsia="方正仿宋_GBK"/>
          <w:sz w:val="32"/>
          <w:szCs w:val="32"/>
        </w:rPr>
        <w:t>下</w:t>
      </w:r>
      <w:r>
        <w:rPr>
          <w:rFonts w:eastAsia="方正仿宋_GBK"/>
          <w:sz w:val="32"/>
          <w:szCs w:val="32"/>
        </w:rPr>
        <w:t>属二级</w:t>
      </w:r>
      <w:r>
        <w:rPr>
          <w:rFonts w:hint="eastAsia" w:eastAsia="方正仿宋_GBK"/>
          <w:sz w:val="32"/>
          <w:szCs w:val="32"/>
        </w:rPr>
        <w:t>单位</w:t>
      </w:r>
      <w:r>
        <w:rPr>
          <w:rFonts w:eastAsia="方正仿宋_GBK"/>
          <w:sz w:val="32"/>
          <w:szCs w:val="32"/>
        </w:rPr>
        <w:t>：</w:t>
      </w:r>
    </w:p>
    <w:p w14:paraId="100FF594">
      <w:pPr>
        <w:spacing w:line="240" w:lineRule="auto"/>
        <w:ind w:firstLine="640"/>
        <w:rPr>
          <w:rFonts w:eastAsia="方正仿宋_GBK"/>
          <w:sz w:val="32"/>
          <w:szCs w:val="32"/>
        </w:rPr>
      </w:pPr>
      <w:r>
        <w:rPr>
          <w:rFonts w:eastAsia="方正仿宋_GBK"/>
          <w:sz w:val="32"/>
          <w:szCs w:val="32"/>
        </w:rPr>
        <w:t>攀枝</w:t>
      </w:r>
      <w:r>
        <w:rPr>
          <w:rFonts w:hint="eastAsia" w:eastAsia="方正仿宋_GBK"/>
          <w:sz w:val="32"/>
          <w:szCs w:val="32"/>
        </w:rPr>
        <w:t>花</w:t>
      </w:r>
      <w:r>
        <w:rPr>
          <w:rFonts w:eastAsia="方正仿宋_GBK"/>
          <w:sz w:val="32"/>
          <w:szCs w:val="32"/>
        </w:rPr>
        <w:t>市纪检监察教育培训与信息中心承担</w:t>
      </w:r>
      <w:r>
        <w:rPr>
          <w:rFonts w:hint="eastAsia" w:eastAsia="方正仿宋_GBK"/>
          <w:sz w:val="32"/>
          <w:szCs w:val="32"/>
        </w:rPr>
        <w:t>全市纪检监察系统信息化建设服务、纪检监察干部的教育培训和查办党纪政纪案件的后勤保障服务工作，同时负责攀枝花市监委留置场所接纳、安置对象工作和场所的日常管理、安全保卫等后勤服务保障工作。</w:t>
      </w:r>
    </w:p>
    <w:p w14:paraId="158280D7">
      <w:pPr>
        <w:spacing w:line="240" w:lineRule="auto"/>
        <w:ind w:firstLine="640"/>
        <w:rPr>
          <w:rFonts w:hint="default" w:ascii="Times New Roman" w:hAnsi="Times New Roman" w:eastAsia="楷体_GB2312" w:cs="Times New Roman"/>
          <w:b/>
          <w:bCs/>
          <w:color w:val="000000"/>
          <w:kern w:val="0"/>
          <w:sz w:val="32"/>
          <w:szCs w:val="32"/>
          <w:highlight w:val="none"/>
          <w:shd w:val="clear" w:color="auto" w:fill="FFFFFF"/>
          <w:lang w:val="zh-CN"/>
        </w:rPr>
      </w:pPr>
      <w:r>
        <w:rPr>
          <w:rFonts w:eastAsia="方正仿宋_GBK"/>
          <w:sz w:val="32"/>
          <w:szCs w:val="32"/>
        </w:rPr>
        <w:t>攀</w:t>
      </w:r>
      <w:r>
        <w:rPr>
          <w:rFonts w:hint="eastAsia" w:eastAsia="方正仿宋_GBK"/>
          <w:sz w:val="32"/>
          <w:szCs w:val="32"/>
        </w:rPr>
        <w:t>枝</w:t>
      </w:r>
      <w:r>
        <w:rPr>
          <w:rFonts w:eastAsia="方正仿宋_GBK"/>
          <w:sz w:val="32"/>
          <w:szCs w:val="32"/>
        </w:rPr>
        <w:t>花市巡察服务中心承担全市巡视巡察系统信息化建设和巡察资料收集、整理、归档工作；负责巡察期间信访接待</w:t>
      </w:r>
      <w:r>
        <w:rPr>
          <w:rFonts w:hint="eastAsia" w:eastAsia="方正仿宋_GBK"/>
          <w:sz w:val="32"/>
          <w:szCs w:val="32"/>
        </w:rPr>
        <w:t>、</w:t>
      </w:r>
      <w:r>
        <w:rPr>
          <w:rFonts w:eastAsia="方正仿宋_GBK"/>
          <w:sz w:val="32"/>
          <w:szCs w:val="32"/>
        </w:rPr>
        <w:t>沟通联络、保障服务等工作；配合开展全市巡察干部教育培训</w:t>
      </w:r>
      <w:r>
        <w:rPr>
          <w:rFonts w:hint="eastAsia" w:eastAsia="方正仿宋_GBK"/>
          <w:sz w:val="32"/>
          <w:szCs w:val="32"/>
        </w:rPr>
        <w:t>。</w:t>
      </w:r>
    </w:p>
    <w:p w14:paraId="1AB8B86C">
      <w:pPr>
        <w:spacing w:line="240" w:lineRule="auto"/>
        <w:ind w:firstLine="640"/>
        <w:rPr>
          <w:rFonts w:hint="eastAsia" w:ascii="方正楷体_GBK" w:hAnsi="方正楷体_GBK" w:eastAsia="方正楷体_GBK" w:cs="方正楷体_GBK"/>
          <w:b/>
          <w:color w:val="auto"/>
          <w:sz w:val="32"/>
          <w:szCs w:val="32"/>
          <w:highlight w:val="none"/>
          <w:lang w:val="zh-CN"/>
        </w:rPr>
      </w:pPr>
      <w:r>
        <w:rPr>
          <w:rFonts w:hint="eastAsia" w:ascii="方正楷体_GBK" w:hAnsi="方正楷体_GBK" w:eastAsia="方正楷体_GBK" w:cs="方正楷体_GBK"/>
          <w:b/>
          <w:color w:val="auto"/>
          <w:sz w:val="32"/>
          <w:szCs w:val="32"/>
          <w:highlight w:val="none"/>
          <w:lang w:val="zh-CN"/>
        </w:rPr>
        <w:t>（</w:t>
      </w:r>
      <w:r>
        <w:rPr>
          <w:rFonts w:hint="eastAsia" w:ascii="方正楷体_GBK" w:hAnsi="方正楷体_GBK" w:eastAsia="方正楷体_GBK" w:cs="方正楷体_GBK"/>
          <w:b/>
          <w:color w:val="auto"/>
          <w:sz w:val="32"/>
          <w:szCs w:val="32"/>
          <w:highlight w:val="none"/>
          <w:lang w:val="en-US" w:eastAsia="zh-CN"/>
        </w:rPr>
        <w:t>三）</w:t>
      </w:r>
      <w:r>
        <w:rPr>
          <w:rFonts w:hint="default" w:ascii="方正楷体_GBK" w:hAnsi="方正楷体_GBK" w:eastAsia="方正楷体_GBK" w:cs="方正楷体_GBK"/>
          <w:b/>
          <w:color w:val="auto"/>
          <w:sz w:val="32"/>
          <w:szCs w:val="32"/>
          <w:highlight w:val="none"/>
          <w:lang w:val="zh-CN"/>
        </w:rPr>
        <w:t>人员概况</w:t>
      </w:r>
    </w:p>
    <w:p w14:paraId="1107C1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eastAsia="方正仿宋_GBK" w:cs="Times New Roman"/>
          <w:sz w:val="32"/>
          <w:szCs w:val="32"/>
        </w:rPr>
        <w:t>截至</w:t>
      </w:r>
      <w:r>
        <w:rPr>
          <w:rFonts w:hint="default" w:ascii="Times New Roman" w:hAnsi="Times New Roman" w:eastAsia="方正仿宋_GBK" w:cs="Times New Roman"/>
          <w:b/>
          <w:bCs/>
          <w:sz w:val="32"/>
          <w:szCs w:val="32"/>
        </w:rPr>
        <w:t>2024</w:t>
      </w:r>
      <w:r>
        <w:rPr>
          <w:rFonts w:hint="default" w:ascii="Times New Roman" w:hAnsi="Times New Roman" w:eastAsia="方正仿宋_GBK" w:cs="Times New Roman"/>
          <w:sz w:val="32"/>
          <w:szCs w:val="32"/>
        </w:rPr>
        <w:t>年末，</w:t>
      </w:r>
      <w:r>
        <w:rPr>
          <w:rFonts w:hint="default" w:ascii="Times New Roman" w:hAnsi="Times New Roman" w:eastAsia="方正仿宋_GBK" w:cs="Times New Roman"/>
          <w:sz w:val="32"/>
          <w:szCs w:val="32"/>
          <w:lang w:eastAsia="zh-CN"/>
        </w:rPr>
        <w:t>中国共产党攀枝花市纪律检查委员会（攀枝花市监察委员会）</w:t>
      </w:r>
      <w:r>
        <w:rPr>
          <w:rFonts w:hint="default" w:ascii="Times New Roman" w:hAnsi="Times New Roman" w:eastAsia="方正仿宋_GBK" w:cs="Times New Roman"/>
          <w:sz w:val="32"/>
          <w:szCs w:val="32"/>
        </w:rPr>
        <w:t>编制数</w:t>
      </w:r>
      <w:r>
        <w:rPr>
          <w:rFonts w:hint="default" w:ascii="Times New Roman" w:hAnsi="Times New Roman" w:eastAsia="方正仿宋_GBK" w:cs="Times New Roman"/>
          <w:b/>
          <w:bCs/>
          <w:sz w:val="32"/>
          <w:szCs w:val="32"/>
        </w:rPr>
        <w:t>87</w:t>
      </w:r>
      <w:r>
        <w:rPr>
          <w:rFonts w:hint="default" w:ascii="Times New Roman" w:hAnsi="Times New Roman" w:eastAsia="方正仿宋_GBK" w:cs="Times New Roman"/>
          <w:sz w:val="32"/>
          <w:szCs w:val="32"/>
        </w:rPr>
        <w:t>人，其中：行政编制</w:t>
      </w:r>
      <w:r>
        <w:rPr>
          <w:rFonts w:hint="default" w:ascii="Times New Roman" w:hAnsi="Times New Roman" w:eastAsia="方正仿宋_GBK" w:cs="Times New Roman"/>
          <w:b/>
          <w:bCs/>
          <w:sz w:val="32"/>
          <w:szCs w:val="32"/>
        </w:rPr>
        <w:t>80</w:t>
      </w:r>
      <w:r>
        <w:rPr>
          <w:rFonts w:hint="default" w:ascii="Times New Roman" w:hAnsi="Times New Roman" w:eastAsia="方正仿宋_GBK" w:cs="Times New Roman"/>
          <w:sz w:val="32"/>
          <w:szCs w:val="32"/>
        </w:rPr>
        <w:t>人（含市委巡察办</w:t>
      </w:r>
      <w:r>
        <w:rPr>
          <w:rFonts w:hint="default" w:ascii="Times New Roman" w:hAnsi="Times New Roman" w:eastAsia="方正仿宋_GBK" w:cs="Times New Roman"/>
          <w:b/>
          <w:bCs/>
          <w:sz w:val="32"/>
          <w:szCs w:val="32"/>
        </w:rPr>
        <w:t>13</w:t>
      </w:r>
      <w:r>
        <w:rPr>
          <w:rFonts w:hint="default" w:ascii="Times New Roman" w:hAnsi="Times New Roman" w:eastAsia="方正仿宋_GBK" w:cs="Times New Roman"/>
          <w:sz w:val="32"/>
          <w:szCs w:val="32"/>
        </w:rPr>
        <w:t>人），机关工勤编</w:t>
      </w:r>
      <w:r>
        <w:rPr>
          <w:rFonts w:hint="default" w:ascii="Times New Roman" w:hAnsi="Times New Roman" w:eastAsia="方正仿宋_GBK" w:cs="Times New Roman"/>
          <w:b/>
          <w:bCs/>
          <w:sz w:val="32"/>
          <w:szCs w:val="32"/>
        </w:rPr>
        <w:t>7</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b/>
          <w:bCs/>
          <w:sz w:val="32"/>
          <w:szCs w:val="32"/>
        </w:rPr>
        <w:t>202</w:t>
      </w:r>
      <w:r>
        <w:rPr>
          <w:rFonts w:hint="default"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sz w:val="32"/>
          <w:szCs w:val="32"/>
        </w:rPr>
        <w:t>年底实有人数</w:t>
      </w:r>
      <w:r>
        <w:rPr>
          <w:rFonts w:hint="default" w:ascii="Times New Roman" w:hAnsi="Times New Roman" w:eastAsia="方正仿宋_GBK" w:cs="Times New Roman"/>
          <w:b/>
          <w:bCs/>
          <w:sz w:val="32"/>
          <w:szCs w:val="32"/>
          <w:lang w:val="en-US" w:eastAsia="zh-CN"/>
        </w:rPr>
        <w:t>83</w:t>
      </w:r>
      <w:r>
        <w:rPr>
          <w:rFonts w:hint="default" w:ascii="Times New Roman" w:hAnsi="Times New Roman" w:eastAsia="方正仿宋_GBK" w:cs="Times New Roman"/>
          <w:sz w:val="32"/>
          <w:szCs w:val="32"/>
        </w:rPr>
        <w:t>人，其中：行政人员</w:t>
      </w:r>
      <w:r>
        <w:rPr>
          <w:rFonts w:hint="default" w:ascii="Times New Roman" w:hAnsi="Times New Roman" w:eastAsia="方正仿宋_GBK" w:cs="Times New Roman"/>
          <w:b/>
          <w:bCs/>
          <w:sz w:val="32"/>
          <w:szCs w:val="32"/>
          <w:lang w:val="en-US" w:eastAsia="zh-CN"/>
        </w:rPr>
        <w:t>73</w:t>
      </w:r>
      <w:r>
        <w:rPr>
          <w:rFonts w:hint="default" w:ascii="Times New Roman" w:hAnsi="Times New Roman" w:eastAsia="方正仿宋_GBK" w:cs="Times New Roman"/>
          <w:sz w:val="32"/>
          <w:szCs w:val="32"/>
        </w:rPr>
        <w:t>人（含市委巡察办），工勤</w:t>
      </w:r>
      <w:r>
        <w:rPr>
          <w:rFonts w:hint="default" w:ascii="Times New Roman" w:hAnsi="Times New Roman" w:eastAsia="方正仿宋_GBK" w:cs="Times New Roman"/>
          <w:b/>
          <w:bCs/>
          <w:sz w:val="32"/>
          <w:szCs w:val="32"/>
        </w:rPr>
        <w:t>2</w:t>
      </w:r>
      <w:r>
        <w:rPr>
          <w:rFonts w:hint="default" w:ascii="Times New Roman" w:hAnsi="Times New Roman" w:eastAsia="方正仿宋_GBK" w:cs="Times New Roman"/>
          <w:sz w:val="32"/>
          <w:szCs w:val="32"/>
        </w:rPr>
        <w:t>人，占编用</w:t>
      </w:r>
      <w:r>
        <w:rPr>
          <w:rFonts w:hint="default" w:ascii="Times New Roman" w:hAnsi="Times New Roman" w:eastAsia="方正仿宋_GBK" w:cs="Times New Roman"/>
          <w:b/>
          <w:bCs/>
          <w:sz w:val="32"/>
          <w:szCs w:val="32"/>
        </w:rPr>
        <w:t>8</w:t>
      </w:r>
      <w:r>
        <w:rPr>
          <w:rFonts w:hint="default" w:ascii="Times New Roman" w:hAnsi="Times New Roman" w:eastAsia="方正仿宋_GBK" w:cs="Times New Roman"/>
          <w:sz w:val="32"/>
          <w:szCs w:val="32"/>
        </w:rPr>
        <w:t>人。离退休职工共计</w:t>
      </w:r>
      <w:r>
        <w:rPr>
          <w:rFonts w:hint="default" w:ascii="Times New Roman" w:hAnsi="Times New Roman" w:eastAsia="方正仿宋_GBK" w:cs="Times New Roman"/>
          <w:b/>
          <w:bCs/>
          <w:sz w:val="32"/>
          <w:szCs w:val="32"/>
          <w:lang w:val="en-US" w:eastAsia="zh-CN"/>
        </w:rPr>
        <w:t>34</w:t>
      </w:r>
      <w:r>
        <w:rPr>
          <w:rFonts w:hint="default" w:ascii="Times New Roman" w:hAnsi="Times New Roman" w:eastAsia="方正仿宋_GBK" w:cs="Times New Roman"/>
          <w:sz w:val="32"/>
          <w:szCs w:val="32"/>
        </w:rPr>
        <w:t>人，其中：离休</w:t>
      </w: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sz w:val="32"/>
          <w:szCs w:val="32"/>
        </w:rPr>
        <w:t>人，退休</w:t>
      </w:r>
      <w:r>
        <w:rPr>
          <w:rFonts w:hint="default" w:ascii="Times New Roman" w:hAnsi="Times New Roman" w:eastAsia="方正仿宋_GBK" w:cs="Times New Roman"/>
          <w:b/>
          <w:bCs/>
          <w:sz w:val="32"/>
          <w:szCs w:val="32"/>
          <w:lang w:val="en-US" w:eastAsia="zh-CN"/>
        </w:rPr>
        <w:t>33</w:t>
      </w:r>
      <w:r>
        <w:rPr>
          <w:rFonts w:hint="default" w:ascii="Times New Roman" w:hAnsi="Times New Roman" w:eastAsia="方正仿宋_GBK" w:cs="Times New Roman"/>
          <w:sz w:val="32"/>
          <w:szCs w:val="32"/>
        </w:rPr>
        <w:t>人。</w:t>
      </w:r>
      <w:r>
        <w:rPr>
          <w:rFonts w:hint="eastAsia" w:ascii="Times New Roman" w:hAnsi="Times New Roman" w:eastAsia="方正仿宋_GBK" w:cs="Times New Roman"/>
          <w:sz w:val="32"/>
          <w:szCs w:val="32"/>
          <w:lang w:val="en-US" w:eastAsia="zh-CN"/>
        </w:rPr>
        <w:t>下属市纪检监察教育培训与信息中心</w:t>
      </w:r>
      <w:r>
        <w:rPr>
          <w:rFonts w:hint="eastAsia" w:eastAsia="方正仿宋_GBK" w:cs="Times New Roman"/>
          <w:sz w:val="32"/>
          <w:szCs w:val="32"/>
          <w:lang w:val="en-US" w:eastAsia="zh-CN"/>
        </w:rPr>
        <w:t>（含巡察服务中心</w:t>
      </w:r>
      <w:r>
        <w:rPr>
          <w:rFonts w:hint="eastAsia" w:eastAsia="方正仿宋_GBK" w:cs="Times New Roman"/>
          <w:b/>
          <w:bCs/>
          <w:sz w:val="32"/>
          <w:szCs w:val="32"/>
          <w:lang w:val="en-US" w:eastAsia="zh-CN"/>
        </w:rPr>
        <w:t>5</w:t>
      </w:r>
      <w:r>
        <w:rPr>
          <w:rFonts w:hint="eastAsia" w:eastAsia="方正仿宋_GBK" w:cs="Times New Roman"/>
          <w:sz w:val="32"/>
          <w:szCs w:val="32"/>
          <w:lang w:val="en-US" w:eastAsia="zh-CN"/>
        </w:rPr>
        <w:t>人）</w:t>
      </w:r>
      <w:r>
        <w:rPr>
          <w:rFonts w:hint="eastAsia" w:ascii="Times New Roman" w:hAnsi="Times New Roman" w:eastAsia="方正仿宋_GBK" w:cs="Times New Roman"/>
          <w:sz w:val="32"/>
          <w:szCs w:val="32"/>
          <w:lang w:val="en-US" w:eastAsia="zh-CN"/>
        </w:rPr>
        <w:t>现有事业编制</w:t>
      </w:r>
      <w:r>
        <w:rPr>
          <w:rFonts w:hint="eastAsia" w:ascii="Times New Roman" w:hAnsi="Times New Roman" w:eastAsia="方正仿宋_GBK" w:cs="Times New Roman"/>
          <w:b/>
          <w:bCs/>
          <w:sz w:val="32"/>
          <w:szCs w:val="32"/>
          <w:lang w:val="en-US" w:eastAsia="zh-CN"/>
        </w:rPr>
        <w:t>24</w:t>
      </w:r>
      <w:r>
        <w:rPr>
          <w:rFonts w:hint="eastAsia" w:ascii="Times New Roman" w:hAnsi="Times New Roman" w:eastAsia="方正仿宋_GBK" w:cs="Times New Roman"/>
          <w:sz w:val="32"/>
          <w:szCs w:val="32"/>
          <w:lang w:val="en-US" w:eastAsia="zh-CN"/>
        </w:rPr>
        <w:t>人，</w:t>
      </w:r>
      <w:r>
        <w:rPr>
          <w:rFonts w:hint="eastAsia" w:ascii="Times New Roman" w:hAnsi="Times New Roman" w:eastAsia="方正仿宋_GBK" w:cs="Times New Roman"/>
          <w:b/>
          <w:bCs/>
          <w:sz w:val="32"/>
          <w:szCs w:val="32"/>
          <w:lang w:val="en-US" w:eastAsia="zh-CN"/>
        </w:rPr>
        <w:t>2024</w:t>
      </w:r>
      <w:r>
        <w:rPr>
          <w:rFonts w:hint="eastAsia" w:ascii="Times New Roman" w:hAnsi="Times New Roman" w:eastAsia="方正仿宋_GBK" w:cs="Times New Roman"/>
          <w:sz w:val="32"/>
          <w:szCs w:val="32"/>
          <w:lang w:val="en-US" w:eastAsia="zh-CN"/>
        </w:rPr>
        <w:t>年底实有人数共有在职人员</w:t>
      </w:r>
      <w:r>
        <w:rPr>
          <w:rFonts w:hint="eastAsia" w:ascii="Times New Roman" w:hAnsi="Times New Roman" w:eastAsia="方正仿宋_GBK" w:cs="Times New Roman"/>
          <w:b/>
          <w:bCs/>
          <w:sz w:val="32"/>
          <w:szCs w:val="32"/>
          <w:lang w:val="en-US" w:eastAsia="zh-CN"/>
        </w:rPr>
        <w:t>18</w:t>
      </w:r>
      <w:r>
        <w:rPr>
          <w:rFonts w:hint="eastAsia" w:ascii="Times New Roman" w:hAnsi="Times New Roman" w:eastAsia="方正仿宋_GBK" w:cs="Times New Roman"/>
          <w:sz w:val="32"/>
          <w:szCs w:val="32"/>
          <w:lang w:val="en-US" w:eastAsia="zh-CN"/>
        </w:rPr>
        <w:t>人</w:t>
      </w:r>
      <w:r>
        <w:rPr>
          <w:rFonts w:hint="eastAsia" w:ascii="Times New Roman" w:hAnsi="Times New Roman" w:eastAsia="方正仿宋_GBK" w:cs="Times New Roman"/>
          <w:color w:val="auto"/>
          <w:sz w:val="32"/>
          <w:szCs w:val="32"/>
          <w:lang w:eastAsia="zh-CN"/>
        </w:rPr>
        <w:t>。</w:t>
      </w:r>
    </w:p>
    <w:p w14:paraId="1835891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二、部门资金收支情况</w:t>
      </w:r>
    </w:p>
    <w:p w14:paraId="24A4B0BA">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楷体_GBK" w:cs="Times New Roman"/>
          <w:b/>
          <w:bCs/>
          <w:sz w:val="32"/>
          <w:szCs w:val="32"/>
          <w:lang w:val="zh-CN" w:eastAsia="zh-CN" w:bidi="ar-SA"/>
        </w:rPr>
        <w:t>（一）收入情况。</w:t>
      </w:r>
      <w:r>
        <w:rPr>
          <w:rFonts w:hint="default" w:ascii="Times New Roman" w:hAnsi="Times New Roman" w:eastAsia="方正仿宋_GBK" w:cs="Times New Roman"/>
          <w:sz w:val="32"/>
          <w:szCs w:val="32"/>
          <w:lang w:val="en-US" w:eastAsia="zh-CN" w:bidi="ar-SA"/>
        </w:rPr>
        <w:t>中国共产党攀枝花市纪律检查委员会部门</w:t>
      </w:r>
      <w:r>
        <w:rPr>
          <w:rFonts w:hint="default" w:ascii="Times New Roman" w:hAnsi="Times New Roman" w:eastAsia="方正仿宋_GBK" w:cs="Times New Roman"/>
          <w:b/>
          <w:bCs/>
          <w:sz w:val="32"/>
          <w:szCs w:val="32"/>
          <w:lang w:val="en-US" w:eastAsia="zh-CN" w:bidi="ar-SA"/>
        </w:rPr>
        <w:t>2024</w:t>
      </w:r>
      <w:r>
        <w:rPr>
          <w:rFonts w:hint="default" w:ascii="Times New Roman" w:hAnsi="Times New Roman" w:eastAsia="方正仿宋_GBK" w:cs="Times New Roman"/>
          <w:sz w:val="32"/>
          <w:szCs w:val="32"/>
          <w:lang w:val="en-US" w:eastAsia="zh-CN" w:bidi="ar-SA"/>
        </w:rPr>
        <w:t>年初预算收入</w:t>
      </w:r>
      <w:r>
        <w:rPr>
          <w:rFonts w:hint="default" w:ascii="Times New Roman" w:hAnsi="Times New Roman" w:eastAsia="方正仿宋_GBK" w:cs="Times New Roman"/>
          <w:b/>
          <w:bCs/>
          <w:sz w:val="32"/>
          <w:szCs w:val="32"/>
          <w:lang w:val="en-US" w:eastAsia="zh-CN" w:bidi="ar-SA"/>
        </w:rPr>
        <w:t>2968.13</w:t>
      </w:r>
      <w:r>
        <w:rPr>
          <w:rFonts w:hint="default" w:ascii="Times New Roman" w:hAnsi="Times New Roman" w:eastAsia="方正仿宋_GBK" w:cs="Times New Roman"/>
          <w:sz w:val="32"/>
          <w:szCs w:val="32"/>
          <w:lang w:val="en-US" w:eastAsia="zh-CN" w:bidi="ar-SA"/>
        </w:rPr>
        <w:t>万元，全年预算收入</w:t>
      </w:r>
      <w:r>
        <w:rPr>
          <w:rFonts w:hint="default" w:ascii="Times New Roman" w:hAnsi="Times New Roman" w:eastAsia="方正仿宋_GBK" w:cs="Times New Roman"/>
          <w:b/>
          <w:bCs/>
          <w:sz w:val="32"/>
          <w:szCs w:val="32"/>
          <w:lang w:val="en-US" w:eastAsia="zh-CN" w:bidi="ar-SA"/>
        </w:rPr>
        <w:t>4124.44</w:t>
      </w:r>
      <w:r>
        <w:rPr>
          <w:rFonts w:hint="default" w:ascii="Times New Roman" w:hAnsi="Times New Roman" w:eastAsia="方正仿宋_GBK" w:cs="Times New Roman"/>
          <w:sz w:val="32"/>
          <w:szCs w:val="32"/>
          <w:lang w:val="en-US" w:eastAsia="zh-CN" w:bidi="ar-SA"/>
        </w:rPr>
        <w:t>万元。</w:t>
      </w:r>
    </w:p>
    <w:p w14:paraId="0E020E13">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楷体_GBK" w:cs="Times New Roman"/>
          <w:b/>
          <w:bCs/>
          <w:sz w:val="32"/>
          <w:szCs w:val="32"/>
          <w:lang w:val="zh-CN" w:eastAsia="zh-CN" w:bidi="ar-SA"/>
        </w:rPr>
        <w:t>（二）支出情况。</w:t>
      </w:r>
      <w:r>
        <w:rPr>
          <w:rFonts w:hint="default" w:ascii="Times New Roman" w:hAnsi="Times New Roman" w:eastAsia="方正仿宋_GBK" w:cs="Times New Roman"/>
          <w:sz w:val="32"/>
          <w:szCs w:val="32"/>
          <w:lang w:val="en-US" w:eastAsia="zh-CN" w:bidi="ar-SA"/>
        </w:rPr>
        <w:t>中国共产党攀枝花市纪律检查委员会部门</w:t>
      </w:r>
      <w:r>
        <w:rPr>
          <w:rFonts w:hint="default" w:ascii="Times New Roman" w:hAnsi="Times New Roman" w:eastAsia="方正仿宋_GBK" w:cs="Times New Roman"/>
          <w:b/>
          <w:bCs/>
          <w:sz w:val="32"/>
          <w:szCs w:val="32"/>
          <w:lang w:val="en-US" w:eastAsia="zh-CN" w:bidi="ar-SA"/>
        </w:rPr>
        <w:t>2024</w:t>
      </w:r>
      <w:r>
        <w:rPr>
          <w:rFonts w:hint="default" w:ascii="Times New Roman" w:hAnsi="Times New Roman" w:eastAsia="方正仿宋_GBK" w:cs="Times New Roman"/>
          <w:sz w:val="32"/>
          <w:szCs w:val="32"/>
          <w:lang w:val="en-US" w:eastAsia="zh-CN" w:bidi="ar-SA"/>
        </w:rPr>
        <w:t>年初预算支出</w:t>
      </w:r>
      <w:r>
        <w:rPr>
          <w:rFonts w:hint="default" w:ascii="Times New Roman" w:hAnsi="Times New Roman" w:eastAsia="方正仿宋_GBK" w:cs="Times New Roman"/>
          <w:b/>
          <w:bCs/>
          <w:sz w:val="32"/>
          <w:szCs w:val="32"/>
          <w:lang w:val="en-US" w:eastAsia="zh-CN" w:bidi="ar-SA"/>
        </w:rPr>
        <w:t>2968.13</w:t>
      </w:r>
      <w:r>
        <w:rPr>
          <w:rFonts w:hint="default" w:ascii="Times New Roman" w:hAnsi="Times New Roman" w:eastAsia="方正仿宋_GBK" w:cs="Times New Roman"/>
          <w:sz w:val="32"/>
          <w:szCs w:val="32"/>
          <w:lang w:val="en-US" w:eastAsia="zh-CN" w:bidi="ar-SA"/>
        </w:rPr>
        <w:t>万元，全年预算支出</w:t>
      </w:r>
      <w:r>
        <w:rPr>
          <w:rFonts w:hint="default" w:ascii="Times New Roman" w:hAnsi="Times New Roman" w:eastAsia="方正仿宋_GBK" w:cs="Times New Roman"/>
          <w:b/>
          <w:bCs/>
          <w:sz w:val="32"/>
          <w:szCs w:val="32"/>
          <w:lang w:val="en-US" w:eastAsia="zh-CN" w:bidi="ar-SA"/>
        </w:rPr>
        <w:t>4398.24</w:t>
      </w:r>
      <w:r>
        <w:rPr>
          <w:rFonts w:hint="default" w:ascii="Times New Roman" w:hAnsi="Times New Roman" w:eastAsia="方正仿宋_GBK" w:cs="Times New Roman"/>
          <w:sz w:val="32"/>
          <w:szCs w:val="32"/>
          <w:lang w:val="en-US" w:eastAsia="zh-CN" w:bidi="ar-SA"/>
        </w:rPr>
        <w:t>万元。。</w:t>
      </w:r>
    </w:p>
    <w:p w14:paraId="546D0BEE">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default" w:ascii="Times New Roman" w:hAnsi="Times New Roman" w:eastAsia="方正仿宋_GBK" w:cs="Times New Roman"/>
          <w:sz w:val="32"/>
          <w:szCs w:val="32"/>
          <w:lang w:val="zh-CN" w:eastAsia="zh-CN" w:bidi="ar-SA"/>
        </w:rPr>
      </w:pPr>
      <w:r>
        <w:rPr>
          <w:rFonts w:hint="default" w:ascii="Times New Roman" w:hAnsi="Times New Roman" w:eastAsia="方正楷体_GBK" w:cs="Times New Roman"/>
          <w:b/>
          <w:bCs/>
          <w:sz w:val="32"/>
          <w:szCs w:val="32"/>
          <w:lang w:val="zh-CN" w:eastAsia="zh-CN" w:bidi="ar-SA"/>
        </w:rPr>
        <w:t>（三）结余分配和结转结余情况。</w:t>
      </w:r>
      <w:r>
        <w:rPr>
          <w:rFonts w:hint="default" w:ascii="Times New Roman" w:hAnsi="Times New Roman" w:eastAsia="方正仿宋_GBK" w:cs="Times New Roman"/>
          <w:sz w:val="32"/>
          <w:szCs w:val="32"/>
          <w:lang w:val="en-US" w:eastAsia="zh-CN" w:bidi="ar-SA"/>
        </w:rPr>
        <w:t>中国共产党攀枝花市纪律检查委员会部门</w:t>
      </w:r>
      <w:r>
        <w:rPr>
          <w:rFonts w:hint="default" w:ascii="Times New Roman" w:hAnsi="Times New Roman" w:eastAsia="方正仿宋_GBK" w:cs="Times New Roman"/>
          <w:b/>
          <w:bCs/>
          <w:sz w:val="32"/>
          <w:szCs w:val="32"/>
          <w:lang w:bidi="ar-SA"/>
        </w:rPr>
        <w:t>2024</w:t>
      </w:r>
      <w:r>
        <w:rPr>
          <w:rFonts w:hint="default" w:ascii="Times New Roman" w:hAnsi="Times New Roman" w:eastAsia="方正仿宋_GBK" w:cs="Times New Roman"/>
          <w:sz w:val="32"/>
          <w:szCs w:val="32"/>
          <w:lang w:bidi="ar-SA"/>
        </w:rPr>
        <w:t>年决算报表</w:t>
      </w:r>
      <w:r>
        <w:rPr>
          <w:rFonts w:hint="default" w:ascii="Times New Roman" w:hAnsi="Times New Roman" w:eastAsia="方正仿宋_GBK" w:cs="Times New Roman"/>
          <w:sz w:val="32"/>
          <w:szCs w:val="32"/>
          <w:lang w:val="en-US" w:eastAsia="zh-CN" w:bidi="ar-SA"/>
        </w:rPr>
        <w:t>无结转结余情况</w:t>
      </w:r>
      <w:r>
        <w:rPr>
          <w:rFonts w:hint="default" w:ascii="Times New Roman" w:hAnsi="Times New Roman" w:eastAsia="方正仿宋_GBK" w:cs="Times New Roman"/>
          <w:sz w:val="32"/>
          <w:szCs w:val="32"/>
          <w:lang w:bidi="ar-SA"/>
        </w:rPr>
        <w:t>。</w:t>
      </w:r>
    </w:p>
    <w:p w14:paraId="213D9A5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三、部门预算绩效分析</w:t>
      </w:r>
    </w:p>
    <w:p w14:paraId="49D5DB1A">
      <w:pPr>
        <w:keepNext w:val="0"/>
        <w:keepLines w:val="0"/>
        <w:pageBreakBefore w:val="0"/>
        <w:widowControl/>
        <w:kinsoku/>
        <w:wordWrap/>
        <w:overflowPunct/>
        <w:topLinePunct w:val="0"/>
        <w:autoSpaceDE/>
        <w:autoSpaceDN/>
        <w:bidi w:val="0"/>
        <w:adjustRightInd w:val="0"/>
        <w:snapToGrid w:val="0"/>
        <w:spacing w:line="240" w:lineRule="auto"/>
        <w:ind w:firstLine="643" w:firstLineChars="200"/>
        <w:contextualSpacing/>
        <w:jc w:val="left"/>
        <w:textAlignment w:val="auto"/>
        <w:rPr>
          <w:rFonts w:hint="default" w:ascii="Times New Roman" w:hAnsi="Times New Roman" w:eastAsia="方正仿宋_GBK" w:cs="Times New Roman"/>
          <w:sz w:val="32"/>
          <w:szCs w:val="32"/>
          <w:lang w:val="zh-CN" w:eastAsia="zh-CN" w:bidi="ar-SA"/>
        </w:rPr>
      </w:pPr>
      <w:r>
        <w:rPr>
          <w:rFonts w:hint="default" w:ascii="Times New Roman" w:hAnsi="Times New Roman" w:eastAsia="方正楷体_GBK" w:cs="Times New Roman"/>
          <w:b/>
          <w:bCs/>
          <w:sz w:val="32"/>
          <w:szCs w:val="32"/>
          <w:lang w:val="zh-CN" w:eastAsia="zh-CN" w:bidi="ar-SA"/>
        </w:rPr>
        <w:t>（一）部门预算总体绩效分析</w:t>
      </w:r>
    </w:p>
    <w:p w14:paraId="303769F6">
      <w:pPr>
        <w:keepNext w:val="0"/>
        <w:keepLines w:val="0"/>
        <w:pageBreakBefore w:val="0"/>
        <w:widowControl w:val="0"/>
        <w:suppressAutoHyphens/>
        <w:kinsoku/>
        <w:wordWrap/>
        <w:overflowPunct/>
        <w:topLinePunct w:val="0"/>
        <w:autoSpaceDE/>
        <w:autoSpaceDN/>
        <w:bidi w:val="0"/>
        <w:spacing w:line="240" w:lineRule="auto"/>
        <w:ind w:firstLine="630" w:firstLineChars="196"/>
        <w:textAlignment w:val="auto"/>
        <w:rPr>
          <w:rFonts w:hint="default" w:ascii="Times New Roman" w:hAnsi="Times New Roman" w:eastAsia="方正仿宋_GBK" w:cs="Times New Roman"/>
          <w:b/>
          <w:bCs/>
          <w:color w:val="000000"/>
          <w:kern w:val="0"/>
          <w:sz w:val="32"/>
          <w:szCs w:val="32"/>
          <w:shd w:val="clear" w:color="auto" w:fill="FFFFFF"/>
          <w:lang w:val="zh-CN" w:eastAsia="zh-CN" w:bidi="ar-SA"/>
        </w:rPr>
      </w:pPr>
      <w:r>
        <w:rPr>
          <w:rFonts w:hint="default" w:ascii="Times New Roman" w:hAnsi="Times New Roman" w:eastAsia="方正仿宋_GBK" w:cs="Times New Roman"/>
          <w:b/>
          <w:bCs/>
          <w:color w:val="000000"/>
          <w:kern w:val="0"/>
          <w:sz w:val="32"/>
          <w:szCs w:val="32"/>
          <w:shd w:val="clear" w:color="auto" w:fill="FFFFFF"/>
          <w:lang w:bidi="ar-SA"/>
        </w:rPr>
        <w:t>1.</w:t>
      </w:r>
      <w:r>
        <w:rPr>
          <w:rFonts w:hint="default" w:ascii="Times New Roman" w:hAnsi="Times New Roman" w:eastAsia="方正仿宋_GBK" w:cs="Times New Roman"/>
          <w:b/>
          <w:bCs/>
          <w:color w:val="000000"/>
          <w:kern w:val="0"/>
          <w:sz w:val="32"/>
          <w:szCs w:val="32"/>
          <w:shd w:val="clear" w:color="auto" w:fill="FFFFFF"/>
          <w:lang w:val="zh-CN" w:eastAsia="zh-CN" w:bidi="ar-SA"/>
        </w:rPr>
        <w:t>履职</w:t>
      </w:r>
      <w:r>
        <w:rPr>
          <w:rFonts w:hint="default" w:ascii="Times New Roman" w:hAnsi="Times New Roman" w:eastAsia="方正仿宋_GBK" w:cs="Times New Roman"/>
          <w:b/>
          <w:bCs/>
          <w:color w:val="000000"/>
          <w:kern w:val="0"/>
          <w:sz w:val="32"/>
          <w:szCs w:val="32"/>
          <w:shd w:val="clear" w:color="auto" w:fill="FFFFFF"/>
          <w:lang w:bidi="ar-SA"/>
        </w:rPr>
        <w:t>效能</w:t>
      </w:r>
    </w:p>
    <w:p w14:paraId="49531A0A">
      <w:pPr>
        <w:keepNext w:val="0"/>
        <w:keepLines w:val="0"/>
        <w:pageBreakBefore w:val="0"/>
        <w:widowControl w:val="0"/>
        <w:suppressAutoHyphens/>
        <w:kinsoku/>
        <w:wordWrap/>
        <w:overflowPunct/>
        <w:topLinePunct w:val="0"/>
        <w:autoSpaceDE/>
        <w:autoSpaceDN/>
        <w:bidi w:val="0"/>
        <w:spacing w:line="240" w:lineRule="auto"/>
        <w:ind w:firstLine="630" w:firstLineChars="196"/>
        <w:textAlignment w:val="auto"/>
        <w:rPr>
          <w:rFonts w:hint="default" w:ascii="Times New Roman" w:hAnsi="Times New Roman" w:eastAsia="方正仿宋_GBK" w:cs="Times New Roman"/>
          <w:bCs/>
          <w:color w:val="000000"/>
          <w:sz w:val="32"/>
          <w:szCs w:val="32"/>
          <w:lang w:bidi="ar-SA"/>
        </w:rPr>
      </w:pPr>
      <w:r>
        <w:rPr>
          <w:rFonts w:hint="default" w:ascii="Times New Roman" w:hAnsi="Times New Roman" w:eastAsia="方正仿宋_GBK" w:cs="Times New Roman"/>
          <w:b/>
          <w:bCs w:val="0"/>
          <w:color w:val="000000"/>
          <w:sz w:val="32"/>
          <w:szCs w:val="32"/>
          <w:lang w:bidi="ar-SA"/>
        </w:rPr>
        <w:t>202</w:t>
      </w:r>
      <w:r>
        <w:rPr>
          <w:rFonts w:hint="default" w:ascii="Times New Roman" w:hAnsi="Times New Roman" w:eastAsia="方正仿宋_GBK" w:cs="Times New Roman"/>
          <w:b/>
          <w:bCs w:val="0"/>
          <w:color w:val="000000"/>
          <w:sz w:val="32"/>
          <w:szCs w:val="32"/>
          <w:lang w:val="en-US" w:eastAsia="zh-CN" w:bidi="ar-SA"/>
        </w:rPr>
        <w:t>4</w:t>
      </w:r>
      <w:r>
        <w:rPr>
          <w:rFonts w:hint="default" w:ascii="Times New Roman" w:hAnsi="Times New Roman" w:eastAsia="方正仿宋_GBK" w:cs="Times New Roman"/>
          <w:bCs/>
          <w:color w:val="000000"/>
          <w:sz w:val="32"/>
          <w:szCs w:val="32"/>
          <w:lang w:bidi="ar-SA"/>
        </w:rPr>
        <w:t>年度整体绩效目标为：在省纪委监委和市委的坚强领导下，全市纪检监察机关深入学习贯彻党的二十大，聚焦习近平总书记来川视察重要指示精神尤其是对攀枝花工作的重要指导精神，对标对表中央纪委、省纪委全会工作部署，围绕共同富裕试验区建设发挥监督保障执行、促进完善发展作用，</w:t>
      </w:r>
      <w:r>
        <w:rPr>
          <w:rFonts w:hint="eastAsia" w:eastAsia="方正仿宋_GBK" w:cs="Times New Roman"/>
          <w:bCs/>
          <w:color w:val="000000"/>
          <w:sz w:val="32"/>
          <w:szCs w:val="32"/>
          <w:lang w:val="en-US" w:eastAsia="zh-CN" w:bidi="ar-SA"/>
        </w:rPr>
        <w:t>着力整治群众身边不正之风和腐败问题</w:t>
      </w:r>
      <w:r>
        <w:rPr>
          <w:rFonts w:hint="default" w:ascii="Times New Roman" w:hAnsi="Times New Roman" w:eastAsia="方正仿宋_GBK" w:cs="Times New Roman"/>
          <w:bCs/>
          <w:color w:val="000000"/>
          <w:sz w:val="32"/>
          <w:szCs w:val="32"/>
          <w:lang w:bidi="ar-SA"/>
        </w:rPr>
        <w:t>，驰而不息正风肃纪、惩贪治腐。</w:t>
      </w:r>
    </w:p>
    <w:p w14:paraId="2E7B9496">
      <w:pPr>
        <w:keepNext w:val="0"/>
        <w:keepLines w:val="0"/>
        <w:pageBreakBefore w:val="0"/>
        <w:widowControl w:val="0"/>
        <w:suppressAutoHyphens/>
        <w:kinsoku/>
        <w:wordWrap/>
        <w:overflowPunct/>
        <w:topLinePunct w:val="0"/>
        <w:autoSpaceDE/>
        <w:autoSpaceDN/>
        <w:bidi w:val="0"/>
        <w:spacing w:line="240" w:lineRule="auto"/>
        <w:ind w:firstLine="627" w:firstLineChars="196"/>
        <w:textAlignment w:val="auto"/>
        <w:rPr>
          <w:rFonts w:hint="default"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bidi="ar-SA"/>
        </w:rPr>
        <w:t>年度主要任务为：一是紧扣党的政治建设，忠诚拥护“两个确立”、坚决做到“两个维护”；二是紧扣服务保障中心大局，倾力护航“国之大者”“省之要事”“市之重点”；三是紧扣重点领域综合施治，聚焦主责主业全面提升办案质效；四是紧扣高质量发展目标任务，全力以赴攻坚克难、争先进位；五是紧扣大抓基层基础的鲜明导向，持续加强基层党风廉政建设</w:t>
      </w:r>
      <w:r>
        <w:rPr>
          <w:rFonts w:hint="default" w:ascii="Times New Roman" w:hAnsi="Times New Roman" w:eastAsia="方正仿宋_GBK" w:cs="Times New Roman"/>
          <w:bCs/>
          <w:color w:val="000000"/>
          <w:sz w:val="32"/>
          <w:szCs w:val="32"/>
          <w:lang w:eastAsia="zh-CN" w:bidi="ar-SA"/>
        </w:rPr>
        <w:t>；</w:t>
      </w:r>
      <w:r>
        <w:rPr>
          <w:rFonts w:hint="default" w:ascii="Times New Roman" w:hAnsi="Times New Roman" w:eastAsia="方正仿宋_GBK" w:cs="Times New Roman"/>
          <w:bCs/>
          <w:color w:val="000000"/>
          <w:sz w:val="32"/>
          <w:szCs w:val="32"/>
          <w:lang w:val="en-US" w:eastAsia="zh-CN" w:bidi="ar-SA"/>
        </w:rPr>
        <w:t>六是紧扣忠诚铸魂、自我革命重大任务，</w:t>
      </w:r>
      <w:r>
        <w:rPr>
          <w:rFonts w:hint="eastAsia" w:eastAsia="方正仿宋_GBK" w:cs="Times New Roman"/>
          <w:bCs/>
          <w:color w:val="000000"/>
          <w:sz w:val="32"/>
          <w:szCs w:val="32"/>
          <w:lang w:val="en-US" w:eastAsia="zh-CN" w:bidi="ar-SA"/>
        </w:rPr>
        <w:t>以高标准、严要求扎实开展党纪学习教育。</w:t>
      </w:r>
    </w:p>
    <w:p w14:paraId="74A353D5">
      <w:pPr>
        <w:keepNext w:val="0"/>
        <w:keepLines w:val="0"/>
        <w:pageBreakBefore w:val="0"/>
        <w:widowControl w:val="0"/>
        <w:suppressAutoHyphens/>
        <w:kinsoku/>
        <w:wordWrap/>
        <w:overflowPunct/>
        <w:topLinePunct w:val="0"/>
        <w:autoSpaceDE/>
        <w:autoSpaceDN/>
        <w:bidi w:val="0"/>
        <w:spacing w:line="240" w:lineRule="auto"/>
        <w:ind w:firstLine="627" w:firstLineChars="196"/>
        <w:textAlignment w:val="auto"/>
        <w:rPr>
          <w:rFonts w:hint="default" w:ascii="Times New Roman" w:hAnsi="Times New Roman" w:eastAsia="方正仿宋_GBK" w:cs="Times New Roman"/>
          <w:sz w:val="32"/>
          <w:szCs w:val="32"/>
          <w:lang w:val="zh-CN" w:eastAsia="zh-CN" w:bidi="ar-SA"/>
        </w:rPr>
      </w:pPr>
      <w:r>
        <w:rPr>
          <w:rFonts w:hint="default" w:ascii="Times New Roman" w:hAnsi="Times New Roman" w:eastAsia="方正仿宋_GBK" w:cs="Times New Roman"/>
          <w:bCs/>
          <w:color w:val="000000"/>
          <w:sz w:val="32"/>
          <w:szCs w:val="32"/>
          <w:lang w:bidi="ar-SA"/>
        </w:rPr>
        <w:t>根据年初填报的我单位整体支出绩效目标申报表选取以下</w:t>
      </w:r>
      <w:r>
        <w:rPr>
          <w:rFonts w:hint="default" w:ascii="Times New Roman" w:hAnsi="Times New Roman" w:eastAsia="方正仿宋_GBK" w:cs="Times New Roman"/>
          <w:b/>
          <w:bCs w:val="0"/>
          <w:color w:val="000000"/>
          <w:sz w:val="32"/>
          <w:szCs w:val="32"/>
          <w:lang w:bidi="ar-SA"/>
        </w:rPr>
        <w:t>3</w:t>
      </w:r>
      <w:r>
        <w:rPr>
          <w:rFonts w:hint="default" w:ascii="Times New Roman" w:hAnsi="Times New Roman" w:eastAsia="方正仿宋_GBK" w:cs="Times New Roman"/>
          <w:bCs/>
          <w:color w:val="000000"/>
          <w:sz w:val="32"/>
          <w:szCs w:val="32"/>
          <w:lang w:bidi="ar-SA"/>
        </w:rPr>
        <w:t>个职能目标进行完成效果情况绩效分析：问题线索处置率，立案案件办结率，信访举报办结率</w:t>
      </w:r>
      <w:r>
        <w:rPr>
          <w:rFonts w:hint="default" w:ascii="Times New Roman" w:hAnsi="Times New Roman" w:eastAsia="方正仿宋_GBK" w:cs="Times New Roman"/>
          <w:b/>
          <w:bCs w:val="0"/>
          <w:color w:val="000000"/>
          <w:sz w:val="32"/>
          <w:szCs w:val="32"/>
          <w:lang w:bidi="ar-SA"/>
        </w:rPr>
        <w:t>≥95%</w:t>
      </w:r>
      <w:r>
        <w:rPr>
          <w:rFonts w:hint="default" w:ascii="Times New Roman" w:hAnsi="Times New Roman" w:eastAsia="方正仿宋_GBK" w:cs="Times New Roman"/>
          <w:bCs/>
          <w:color w:val="000000"/>
          <w:sz w:val="32"/>
          <w:szCs w:val="32"/>
          <w:lang w:bidi="ar-SA"/>
        </w:rPr>
        <w:t>，达成目标要求；</w:t>
      </w:r>
      <w:r>
        <w:rPr>
          <w:rFonts w:hint="default" w:ascii="Times New Roman" w:hAnsi="Times New Roman" w:eastAsia="方正仿宋_GBK" w:cs="Times New Roman"/>
          <w:bCs/>
          <w:color w:val="000000"/>
          <w:sz w:val="32"/>
          <w:szCs w:val="32"/>
          <w:lang w:val="en-US" w:eastAsia="zh-CN" w:bidi="ar-SA"/>
        </w:rPr>
        <w:t>拍摄警示教育片</w:t>
      </w:r>
      <w:r>
        <w:rPr>
          <w:rFonts w:hint="default" w:ascii="Times New Roman" w:hAnsi="Times New Roman" w:eastAsia="方正仿宋_GBK" w:cs="Times New Roman"/>
          <w:b/>
          <w:bCs w:val="0"/>
          <w:color w:val="000000"/>
          <w:sz w:val="32"/>
          <w:szCs w:val="32"/>
          <w:lang w:val="en-US" w:eastAsia="zh-CN" w:bidi="ar-SA"/>
        </w:rPr>
        <w:t>2</w:t>
      </w:r>
      <w:r>
        <w:rPr>
          <w:rFonts w:hint="default" w:ascii="Times New Roman" w:hAnsi="Times New Roman" w:eastAsia="方正仿宋_GBK" w:cs="Times New Roman"/>
          <w:bCs/>
          <w:color w:val="000000"/>
          <w:sz w:val="32"/>
          <w:szCs w:val="32"/>
          <w:lang w:val="en-US" w:eastAsia="zh-CN" w:bidi="ar-SA"/>
        </w:rPr>
        <w:t>部</w:t>
      </w:r>
      <w:r>
        <w:rPr>
          <w:rFonts w:hint="default" w:ascii="Times New Roman" w:hAnsi="Times New Roman" w:eastAsia="方正仿宋_GBK" w:cs="Times New Roman"/>
          <w:bCs/>
          <w:color w:val="000000"/>
          <w:sz w:val="32"/>
          <w:szCs w:val="32"/>
          <w:lang w:bidi="ar-SA"/>
        </w:rPr>
        <w:t>，达成目标要求；收缴违纪违法和犯罪款物，达到目标要求。</w:t>
      </w:r>
    </w:p>
    <w:p w14:paraId="05D82028">
      <w:pPr>
        <w:keepNext w:val="0"/>
        <w:keepLines w:val="0"/>
        <w:pageBreakBefore w:val="0"/>
        <w:widowControl/>
        <w:kinsoku/>
        <w:wordWrap/>
        <w:overflowPunct/>
        <w:topLinePunct w:val="0"/>
        <w:autoSpaceDE/>
        <w:autoSpaceDN/>
        <w:bidi w:val="0"/>
        <w:adjustRightInd w:val="0"/>
        <w:snapToGrid w:val="0"/>
        <w:spacing w:line="240" w:lineRule="auto"/>
        <w:ind w:left="0" w:firstLine="643" w:firstLineChars="200"/>
        <w:contextualSpacing/>
        <w:jc w:val="left"/>
        <w:textAlignment w:val="auto"/>
        <w:rPr>
          <w:rFonts w:hint="default" w:ascii="Times New Roman" w:hAnsi="Times New Roman" w:eastAsia="方正仿宋_GBK" w:cs="Times New Roman"/>
          <w:b/>
          <w:bCs/>
          <w:sz w:val="32"/>
          <w:szCs w:val="32"/>
          <w:lang w:val="zh-CN" w:eastAsia="zh-CN" w:bidi="ar-SA"/>
        </w:rPr>
      </w:pPr>
      <w:r>
        <w:rPr>
          <w:rFonts w:hint="default" w:ascii="Times New Roman" w:hAnsi="Times New Roman" w:eastAsia="方正仿宋_GBK" w:cs="Times New Roman"/>
          <w:b/>
          <w:bCs/>
          <w:sz w:val="32"/>
          <w:szCs w:val="32"/>
          <w:lang w:val="en-US" w:eastAsia="zh-CN" w:bidi="ar-SA"/>
        </w:rPr>
        <w:t>2.</w:t>
      </w:r>
      <w:r>
        <w:rPr>
          <w:rFonts w:hint="default" w:ascii="Times New Roman" w:hAnsi="Times New Roman" w:eastAsia="方正仿宋_GBK" w:cs="Times New Roman"/>
          <w:b/>
          <w:bCs/>
          <w:sz w:val="32"/>
          <w:szCs w:val="32"/>
          <w:lang w:val="zh-CN" w:eastAsia="zh-CN" w:bidi="ar-SA"/>
        </w:rPr>
        <w:t>预算管理</w:t>
      </w:r>
    </w:p>
    <w:p w14:paraId="6E66FA47">
      <w:pPr>
        <w:keepNext w:val="0"/>
        <w:keepLines w:val="0"/>
        <w:pageBreakBefore w:val="0"/>
        <w:widowControl w:val="0"/>
        <w:suppressAutoHyphens/>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bCs/>
          <w:color w:val="000000"/>
          <w:sz w:val="32"/>
          <w:szCs w:val="32"/>
          <w:lang w:bidi="ar-SA"/>
        </w:rPr>
      </w:pPr>
      <w:r>
        <w:rPr>
          <w:rFonts w:hint="default" w:ascii="Times New Roman" w:hAnsi="Times New Roman" w:eastAsia="方正仿宋_GBK" w:cs="Times New Roman"/>
          <w:bCs/>
          <w:color w:val="000000"/>
          <w:sz w:val="32"/>
          <w:szCs w:val="32"/>
          <w:lang w:eastAsia="zh-CN" w:bidi="ar-SA"/>
        </w:rPr>
        <w:t>（</w:t>
      </w:r>
      <w:r>
        <w:rPr>
          <w:rFonts w:hint="default" w:ascii="Times New Roman" w:hAnsi="Times New Roman" w:eastAsia="方正仿宋_GBK" w:cs="Times New Roman"/>
          <w:bCs/>
          <w:color w:val="000000"/>
          <w:sz w:val="32"/>
          <w:szCs w:val="32"/>
          <w:lang w:val="en-US" w:eastAsia="zh-CN" w:bidi="ar-SA"/>
        </w:rPr>
        <w:t>1</w:t>
      </w:r>
      <w:r>
        <w:rPr>
          <w:rFonts w:hint="default" w:ascii="Times New Roman" w:hAnsi="Times New Roman" w:eastAsia="方正仿宋_GBK" w:cs="Times New Roman"/>
          <w:bCs/>
          <w:color w:val="000000"/>
          <w:sz w:val="32"/>
          <w:szCs w:val="32"/>
          <w:lang w:eastAsia="zh-CN" w:bidi="ar-SA"/>
        </w:rPr>
        <w:t>）</w:t>
      </w:r>
      <w:r>
        <w:rPr>
          <w:rFonts w:hint="default" w:ascii="Times New Roman" w:hAnsi="Times New Roman" w:eastAsia="方正仿宋_GBK" w:cs="Times New Roman"/>
          <w:bCs/>
          <w:color w:val="000000"/>
          <w:sz w:val="32"/>
          <w:szCs w:val="32"/>
          <w:lang w:bidi="ar-SA"/>
        </w:rPr>
        <w:t>预算编制质量：</w:t>
      </w:r>
      <w:r>
        <w:rPr>
          <w:rFonts w:hint="default" w:ascii="Times New Roman" w:hAnsi="Times New Roman" w:eastAsia="方正仿宋_GBK" w:cs="Times New Roman"/>
          <w:b/>
          <w:bCs w:val="0"/>
          <w:color w:val="000000"/>
          <w:sz w:val="32"/>
          <w:szCs w:val="32"/>
          <w:lang w:bidi="ar-SA"/>
        </w:rPr>
        <w:t>202</w:t>
      </w:r>
      <w:r>
        <w:rPr>
          <w:rFonts w:hint="default" w:ascii="Times New Roman" w:hAnsi="Times New Roman" w:eastAsia="方正仿宋_GBK" w:cs="Times New Roman"/>
          <w:b/>
          <w:bCs w:val="0"/>
          <w:color w:val="000000"/>
          <w:sz w:val="32"/>
          <w:szCs w:val="32"/>
          <w:lang w:val="en-US" w:eastAsia="zh-CN" w:bidi="ar-SA"/>
        </w:rPr>
        <w:t>4</w:t>
      </w:r>
      <w:r>
        <w:rPr>
          <w:rFonts w:hint="default" w:ascii="Times New Roman" w:hAnsi="Times New Roman" w:eastAsia="方正仿宋_GBK" w:cs="Times New Roman"/>
          <w:bCs/>
          <w:color w:val="000000"/>
          <w:sz w:val="32"/>
          <w:szCs w:val="32"/>
          <w:lang w:bidi="ar-SA"/>
        </w:rPr>
        <w:t>年财政拨款预算执行数</w:t>
      </w:r>
      <w:r>
        <w:rPr>
          <w:rFonts w:hint="default" w:ascii="Times New Roman" w:hAnsi="Times New Roman" w:eastAsia="方正仿宋_GBK" w:cs="Times New Roman"/>
          <w:b/>
          <w:bCs w:val="0"/>
          <w:color w:val="000000"/>
          <w:sz w:val="32"/>
          <w:szCs w:val="32"/>
          <w:lang w:val="en-US" w:eastAsia="zh-CN" w:bidi="ar-SA"/>
        </w:rPr>
        <w:t>4398.24</w:t>
      </w:r>
      <w:r>
        <w:rPr>
          <w:rFonts w:hint="default" w:ascii="Times New Roman" w:hAnsi="Times New Roman" w:eastAsia="方正仿宋_GBK" w:cs="Times New Roman"/>
          <w:bCs/>
          <w:color w:val="000000"/>
          <w:sz w:val="32"/>
          <w:szCs w:val="32"/>
          <w:lang w:bidi="ar-SA"/>
        </w:rPr>
        <w:t>万元，财政拨款年初预算数</w:t>
      </w:r>
      <w:r>
        <w:rPr>
          <w:rFonts w:hint="default" w:ascii="Times New Roman" w:hAnsi="Times New Roman" w:eastAsia="方正仿宋_GBK" w:cs="Times New Roman"/>
          <w:b/>
          <w:bCs w:val="0"/>
          <w:color w:val="000000"/>
          <w:sz w:val="32"/>
          <w:szCs w:val="32"/>
          <w:lang w:val="en-US" w:eastAsia="zh-CN" w:bidi="ar-SA"/>
        </w:rPr>
        <w:t>2968.13</w:t>
      </w:r>
      <w:r>
        <w:rPr>
          <w:rFonts w:hint="default" w:ascii="Times New Roman" w:hAnsi="Times New Roman" w:eastAsia="方正仿宋_GBK" w:cs="Times New Roman"/>
          <w:bCs/>
          <w:color w:val="000000"/>
          <w:sz w:val="32"/>
          <w:szCs w:val="32"/>
          <w:lang w:bidi="ar-SA"/>
        </w:rPr>
        <w:t>万元。</w:t>
      </w:r>
    </w:p>
    <w:p w14:paraId="554210C5">
      <w:pPr>
        <w:keepNext w:val="0"/>
        <w:keepLines w:val="0"/>
        <w:pageBreakBefore w:val="0"/>
        <w:widowControl w:val="0"/>
        <w:suppressAutoHyphens/>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bCs/>
          <w:color w:val="000000"/>
          <w:sz w:val="32"/>
          <w:szCs w:val="32"/>
          <w:lang w:bidi="ar-SA"/>
        </w:rPr>
      </w:pPr>
      <w:r>
        <w:rPr>
          <w:rFonts w:hint="default" w:ascii="Times New Roman" w:hAnsi="Times New Roman" w:eastAsia="方正仿宋_GBK" w:cs="Times New Roman"/>
          <w:bCs/>
          <w:color w:val="000000"/>
          <w:sz w:val="32"/>
          <w:szCs w:val="32"/>
          <w:lang w:eastAsia="zh-CN" w:bidi="ar-SA"/>
        </w:rPr>
        <w:t>（</w:t>
      </w:r>
      <w:r>
        <w:rPr>
          <w:rFonts w:hint="default" w:ascii="Times New Roman" w:hAnsi="Times New Roman" w:eastAsia="方正仿宋_GBK" w:cs="Times New Roman"/>
          <w:bCs/>
          <w:color w:val="000000"/>
          <w:sz w:val="32"/>
          <w:szCs w:val="32"/>
          <w:lang w:val="en-US" w:eastAsia="zh-CN" w:bidi="ar-SA"/>
        </w:rPr>
        <w:t>2</w:t>
      </w:r>
      <w:r>
        <w:rPr>
          <w:rFonts w:hint="default" w:ascii="Times New Roman" w:hAnsi="Times New Roman" w:eastAsia="方正仿宋_GBK" w:cs="Times New Roman"/>
          <w:bCs/>
          <w:color w:val="000000"/>
          <w:sz w:val="32"/>
          <w:szCs w:val="32"/>
          <w:lang w:eastAsia="zh-CN" w:bidi="ar-SA"/>
        </w:rPr>
        <w:t>）</w:t>
      </w:r>
      <w:r>
        <w:rPr>
          <w:rFonts w:hint="default" w:ascii="Times New Roman" w:hAnsi="Times New Roman" w:eastAsia="方正仿宋_GBK" w:cs="Times New Roman"/>
          <w:bCs/>
          <w:color w:val="000000"/>
          <w:sz w:val="32"/>
          <w:szCs w:val="32"/>
          <w:lang w:bidi="ar-SA"/>
        </w:rPr>
        <w:t xml:space="preserve">单位收入统筹：部门未产生自有收入。 </w:t>
      </w:r>
    </w:p>
    <w:p w14:paraId="3F3D4F1C">
      <w:pPr>
        <w:keepNext w:val="0"/>
        <w:keepLines w:val="0"/>
        <w:pageBreakBefore w:val="0"/>
        <w:widowControl w:val="0"/>
        <w:suppressAutoHyphens/>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bCs/>
          <w:color w:val="000000"/>
          <w:sz w:val="32"/>
          <w:szCs w:val="32"/>
          <w:lang w:bidi="ar-SA"/>
        </w:rPr>
      </w:pPr>
      <w:r>
        <w:rPr>
          <w:rFonts w:hint="default" w:ascii="Times New Roman" w:hAnsi="Times New Roman" w:eastAsia="方正仿宋_GBK" w:cs="Times New Roman"/>
          <w:bCs/>
          <w:color w:val="000000"/>
          <w:sz w:val="32"/>
          <w:szCs w:val="32"/>
          <w:lang w:eastAsia="zh-CN" w:bidi="ar-SA"/>
        </w:rPr>
        <w:t>（</w:t>
      </w:r>
      <w:r>
        <w:rPr>
          <w:rFonts w:hint="default" w:ascii="Times New Roman" w:hAnsi="Times New Roman" w:eastAsia="方正仿宋_GBK" w:cs="Times New Roman"/>
          <w:bCs/>
          <w:color w:val="000000"/>
          <w:sz w:val="32"/>
          <w:szCs w:val="32"/>
          <w:lang w:val="en-US" w:eastAsia="zh-CN" w:bidi="ar-SA"/>
        </w:rPr>
        <w:t>3</w:t>
      </w:r>
      <w:r>
        <w:rPr>
          <w:rFonts w:hint="default" w:ascii="Times New Roman" w:hAnsi="Times New Roman" w:eastAsia="方正仿宋_GBK" w:cs="Times New Roman"/>
          <w:bCs/>
          <w:color w:val="000000"/>
          <w:sz w:val="32"/>
          <w:szCs w:val="32"/>
          <w:lang w:eastAsia="zh-CN" w:bidi="ar-SA"/>
        </w:rPr>
        <w:t>）</w:t>
      </w:r>
      <w:r>
        <w:rPr>
          <w:rFonts w:hint="default" w:ascii="Times New Roman" w:hAnsi="Times New Roman" w:eastAsia="方正仿宋_GBK" w:cs="Times New Roman"/>
          <w:bCs/>
          <w:color w:val="000000"/>
          <w:sz w:val="32"/>
          <w:szCs w:val="32"/>
          <w:lang w:bidi="ar-SA"/>
        </w:rPr>
        <w:t>支出执行进度：</w:t>
      </w:r>
      <w:r>
        <w:rPr>
          <w:rFonts w:hint="default" w:ascii="Times New Roman" w:hAnsi="Times New Roman" w:eastAsia="方正仿宋_GBK" w:cs="Times New Roman"/>
          <w:bCs/>
          <w:color w:val="000000"/>
          <w:sz w:val="32"/>
          <w:szCs w:val="32"/>
          <w:lang w:val="en-US" w:eastAsia="zh-CN" w:bidi="ar-SA"/>
        </w:rPr>
        <w:t>已完成全年支付</w:t>
      </w:r>
      <w:r>
        <w:rPr>
          <w:rFonts w:hint="default" w:ascii="Times New Roman" w:hAnsi="Times New Roman" w:eastAsia="方正仿宋_GBK" w:cs="Times New Roman"/>
          <w:bCs/>
          <w:color w:val="000000"/>
          <w:sz w:val="32"/>
          <w:szCs w:val="32"/>
          <w:lang w:bidi="ar-SA"/>
        </w:rPr>
        <w:t>。</w:t>
      </w:r>
    </w:p>
    <w:p w14:paraId="41023BD1">
      <w:pPr>
        <w:keepNext w:val="0"/>
        <w:keepLines w:val="0"/>
        <w:pageBreakBefore w:val="0"/>
        <w:widowControl w:val="0"/>
        <w:suppressAutoHyphens/>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bCs/>
          <w:color w:val="000000"/>
          <w:sz w:val="32"/>
          <w:szCs w:val="32"/>
          <w:lang w:bidi="ar-SA"/>
        </w:rPr>
      </w:pPr>
      <w:r>
        <w:rPr>
          <w:rFonts w:hint="default" w:ascii="Times New Roman" w:hAnsi="Times New Roman" w:eastAsia="方正仿宋_GBK" w:cs="Times New Roman"/>
          <w:bCs/>
          <w:color w:val="000000"/>
          <w:sz w:val="32"/>
          <w:szCs w:val="32"/>
          <w:lang w:eastAsia="zh-CN" w:bidi="ar-SA"/>
        </w:rPr>
        <w:t>（</w:t>
      </w:r>
      <w:r>
        <w:rPr>
          <w:rFonts w:hint="default" w:ascii="Times New Roman" w:hAnsi="Times New Roman" w:eastAsia="方正仿宋_GBK" w:cs="Times New Roman"/>
          <w:bCs/>
          <w:color w:val="000000"/>
          <w:sz w:val="32"/>
          <w:szCs w:val="32"/>
          <w:lang w:val="en-US" w:eastAsia="zh-CN" w:bidi="ar-SA"/>
        </w:rPr>
        <w:t>4</w:t>
      </w:r>
      <w:r>
        <w:rPr>
          <w:rFonts w:hint="default" w:ascii="Times New Roman" w:hAnsi="Times New Roman" w:eastAsia="方正仿宋_GBK" w:cs="Times New Roman"/>
          <w:bCs/>
          <w:color w:val="000000"/>
          <w:sz w:val="32"/>
          <w:szCs w:val="32"/>
          <w:lang w:eastAsia="zh-CN" w:bidi="ar-SA"/>
        </w:rPr>
        <w:t>）</w:t>
      </w:r>
      <w:r>
        <w:rPr>
          <w:rFonts w:hint="default" w:ascii="Times New Roman" w:hAnsi="Times New Roman" w:eastAsia="方正仿宋_GBK" w:cs="Times New Roman"/>
          <w:bCs/>
          <w:color w:val="000000"/>
          <w:sz w:val="32"/>
          <w:szCs w:val="32"/>
          <w:lang w:bidi="ar-SA"/>
        </w:rPr>
        <w:t>预算年终结余：无年终结转结余。</w:t>
      </w:r>
    </w:p>
    <w:p w14:paraId="7CA9D03E">
      <w:pPr>
        <w:keepNext w:val="0"/>
        <w:keepLines w:val="0"/>
        <w:pageBreakBefore w:val="0"/>
        <w:widowControl w:val="0"/>
        <w:suppressAutoHyphens/>
        <w:kinsoku/>
        <w:wordWrap/>
        <w:overflowPunct/>
        <w:topLinePunct w:val="0"/>
        <w:autoSpaceDE/>
        <w:autoSpaceDN/>
        <w:bidi w:val="0"/>
        <w:spacing w:line="240" w:lineRule="auto"/>
        <w:ind w:firstLine="640" w:firstLineChars="200"/>
        <w:textAlignment w:val="auto"/>
        <w:rPr>
          <w:rFonts w:hint="default" w:ascii="Times New Roman" w:hAnsi="Times New Roman" w:cs="Times New Roman"/>
          <w:sz w:val="32"/>
          <w:szCs w:val="32"/>
          <w:lang w:val="zh-CN" w:eastAsia="zh-CN" w:bidi="ar-SA"/>
        </w:rPr>
      </w:pPr>
      <w:r>
        <w:rPr>
          <w:rFonts w:hint="default" w:ascii="Times New Roman" w:hAnsi="Times New Roman" w:eastAsia="方正仿宋_GBK" w:cs="Times New Roman"/>
          <w:bCs/>
          <w:color w:val="000000"/>
          <w:sz w:val="32"/>
          <w:szCs w:val="32"/>
          <w:lang w:eastAsia="zh-CN" w:bidi="ar-SA"/>
        </w:rPr>
        <w:t>（</w:t>
      </w:r>
      <w:r>
        <w:rPr>
          <w:rFonts w:hint="default" w:ascii="Times New Roman" w:hAnsi="Times New Roman" w:eastAsia="方正仿宋_GBK" w:cs="Times New Roman"/>
          <w:bCs/>
          <w:color w:val="000000"/>
          <w:sz w:val="32"/>
          <w:szCs w:val="32"/>
          <w:lang w:val="en-US" w:eastAsia="zh-CN" w:bidi="ar-SA"/>
        </w:rPr>
        <w:t>5</w:t>
      </w:r>
      <w:r>
        <w:rPr>
          <w:rFonts w:hint="default" w:ascii="Times New Roman" w:hAnsi="Times New Roman" w:eastAsia="方正仿宋_GBK" w:cs="Times New Roman"/>
          <w:bCs/>
          <w:color w:val="000000"/>
          <w:sz w:val="32"/>
          <w:szCs w:val="32"/>
          <w:lang w:eastAsia="zh-CN" w:bidi="ar-SA"/>
        </w:rPr>
        <w:t>）</w:t>
      </w:r>
      <w:r>
        <w:rPr>
          <w:rFonts w:hint="default" w:ascii="Times New Roman" w:hAnsi="Times New Roman" w:eastAsia="方正仿宋_GBK" w:cs="Times New Roman"/>
          <w:bCs/>
          <w:color w:val="000000"/>
          <w:sz w:val="32"/>
          <w:szCs w:val="32"/>
          <w:lang w:bidi="ar-SA"/>
        </w:rPr>
        <w:t>严控一般性支出：</w:t>
      </w:r>
      <w:r>
        <w:rPr>
          <w:rFonts w:hint="default" w:ascii="Times New Roman" w:hAnsi="Times New Roman" w:eastAsia="方正仿宋_GBK" w:cs="Times New Roman"/>
          <w:b/>
          <w:bCs w:val="0"/>
          <w:color w:val="000000"/>
          <w:sz w:val="32"/>
          <w:szCs w:val="32"/>
          <w:lang w:bidi="ar-SA"/>
        </w:rPr>
        <w:t>202</w:t>
      </w:r>
      <w:r>
        <w:rPr>
          <w:rFonts w:hint="default" w:ascii="Times New Roman" w:hAnsi="Times New Roman" w:eastAsia="方正仿宋_GBK" w:cs="Times New Roman"/>
          <w:b/>
          <w:bCs w:val="0"/>
          <w:color w:val="000000"/>
          <w:sz w:val="32"/>
          <w:szCs w:val="32"/>
          <w:lang w:val="en-US" w:eastAsia="zh-CN" w:bidi="ar-SA"/>
        </w:rPr>
        <w:t>4</w:t>
      </w:r>
      <w:r>
        <w:rPr>
          <w:rFonts w:hint="default" w:ascii="Times New Roman" w:hAnsi="Times New Roman" w:eastAsia="方正仿宋_GBK" w:cs="Times New Roman"/>
          <w:bCs/>
          <w:color w:val="000000"/>
          <w:sz w:val="32"/>
          <w:szCs w:val="32"/>
          <w:lang w:bidi="ar-SA"/>
        </w:rPr>
        <w:t>年年初预算安排“三公”经费、会议费、培训费、差旅费、办公设备购置经费、等一般性支出</w:t>
      </w:r>
      <w:r>
        <w:rPr>
          <w:rFonts w:hint="default" w:ascii="Times New Roman" w:hAnsi="Times New Roman" w:eastAsia="方正仿宋_GBK" w:cs="Times New Roman"/>
          <w:b/>
          <w:bCs w:val="0"/>
          <w:color w:val="000000"/>
          <w:sz w:val="32"/>
          <w:szCs w:val="32"/>
          <w:lang w:val="en-US" w:eastAsia="zh-CN" w:bidi="ar-SA"/>
        </w:rPr>
        <w:t>344.14</w:t>
      </w:r>
      <w:r>
        <w:rPr>
          <w:rFonts w:hint="default" w:ascii="Times New Roman" w:hAnsi="Times New Roman" w:eastAsia="方正仿宋_GBK" w:cs="Times New Roman"/>
          <w:bCs/>
          <w:color w:val="000000"/>
          <w:sz w:val="32"/>
          <w:szCs w:val="32"/>
          <w:lang w:bidi="ar-SA"/>
        </w:rPr>
        <w:t>万元，较</w:t>
      </w:r>
      <w:r>
        <w:rPr>
          <w:rFonts w:hint="default" w:ascii="Times New Roman" w:hAnsi="Times New Roman" w:eastAsia="方正仿宋_GBK" w:cs="Times New Roman"/>
          <w:b/>
          <w:bCs w:val="0"/>
          <w:color w:val="000000"/>
          <w:sz w:val="32"/>
          <w:szCs w:val="32"/>
          <w:lang w:bidi="ar-SA"/>
        </w:rPr>
        <w:t>202</w:t>
      </w:r>
      <w:r>
        <w:rPr>
          <w:rFonts w:hint="default" w:ascii="Times New Roman" w:hAnsi="Times New Roman" w:eastAsia="方正仿宋_GBK" w:cs="Times New Roman"/>
          <w:b/>
          <w:bCs w:val="0"/>
          <w:color w:val="000000"/>
          <w:sz w:val="32"/>
          <w:szCs w:val="32"/>
          <w:lang w:val="en-US" w:eastAsia="zh-CN" w:bidi="ar-SA"/>
        </w:rPr>
        <w:t>3</w:t>
      </w:r>
      <w:r>
        <w:rPr>
          <w:rFonts w:hint="default" w:ascii="Times New Roman" w:hAnsi="Times New Roman" w:eastAsia="方正仿宋_GBK" w:cs="Times New Roman"/>
          <w:bCs/>
          <w:color w:val="000000"/>
          <w:sz w:val="32"/>
          <w:szCs w:val="32"/>
          <w:lang w:bidi="ar-SA"/>
        </w:rPr>
        <w:t>年年初预算安排</w:t>
      </w:r>
      <w:r>
        <w:rPr>
          <w:rFonts w:hint="default" w:ascii="Times New Roman" w:hAnsi="Times New Roman" w:eastAsia="方正仿宋_GBK" w:cs="Times New Roman"/>
          <w:b/>
          <w:bCs w:val="0"/>
          <w:color w:val="000000"/>
          <w:sz w:val="32"/>
          <w:szCs w:val="32"/>
          <w:lang w:bidi="ar-SA"/>
        </w:rPr>
        <w:t>357.72</w:t>
      </w:r>
      <w:r>
        <w:rPr>
          <w:rFonts w:hint="default" w:ascii="Times New Roman" w:hAnsi="Times New Roman" w:eastAsia="方正仿宋_GBK" w:cs="Times New Roman"/>
          <w:bCs/>
          <w:color w:val="000000"/>
          <w:sz w:val="32"/>
          <w:szCs w:val="32"/>
          <w:lang w:bidi="ar-SA"/>
        </w:rPr>
        <w:t>万元减少</w:t>
      </w:r>
      <w:r>
        <w:rPr>
          <w:rFonts w:hint="default" w:ascii="Times New Roman" w:hAnsi="Times New Roman" w:eastAsia="方正仿宋_GBK" w:cs="Times New Roman"/>
          <w:b/>
          <w:bCs w:val="0"/>
          <w:color w:val="000000"/>
          <w:sz w:val="32"/>
          <w:szCs w:val="32"/>
          <w:lang w:val="en-US" w:eastAsia="zh-CN" w:bidi="ar-SA"/>
        </w:rPr>
        <w:t>13.58</w:t>
      </w:r>
      <w:r>
        <w:rPr>
          <w:rFonts w:hint="default" w:ascii="Times New Roman" w:hAnsi="Times New Roman" w:eastAsia="方正仿宋_GBK" w:cs="Times New Roman"/>
          <w:bCs/>
          <w:color w:val="000000"/>
          <w:sz w:val="32"/>
          <w:szCs w:val="32"/>
          <w:lang w:bidi="ar-SA"/>
        </w:rPr>
        <w:t>万元，下降</w:t>
      </w:r>
      <w:r>
        <w:rPr>
          <w:rFonts w:hint="default" w:ascii="Times New Roman" w:hAnsi="Times New Roman" w:eastAsia="方正仿宋_GBK" w:cs="Times New Roman"/>
          <w:b/>
          <w:bCs w:val="0"/>
          <w:color w:val="000000"/>
          <w:sz w:val="32"/>
          <w:szCs w:val="32"/>
          <w:lang w:val="en-US" w:eastAsia="zh-CN" w:bidi="ar-SA"/>
        </w:rPr>
        <w:t>3.8</w:t>
      </w:r>
      <w:r>
        <w:rPr>
          <w:rFonts w:hint="default" w:ascii="Times New Roman" w:hAnsi="Times New Roman" w:eastAsia="方正仿宋_GBK" w:cs="Times New Roman"/>
          <w:b/>
          <w:bCs w:val="0"/>
          <w:color w:val="000000"/>
          <w:sz w:val="32"/>
          <w:szCs w:val="32"/>
          <w:lang w:bidi="ar-SA"/>
        </w:rPr>
        <w:t>%</w:t>
      </w:r>
      <w:r>
        <w:rPr>
          <w:rFonts w:hint="default" w:ascii="Times New Roman" w:hAnsi="Times New Roman" w:eastAsia="方正仿宋_GBK" w:cs="Times New Roman"/>
          <w:bCs/>
          <w:color w:val="000000"/>
          <w:sz w:val="32"/>
          <w:szCs w:val="32"/>
          <w:lang w:bidi="ar-SA"/>
        </w:rPr>
        <w:t>。</w:t>
      </w:r>
    </w:p>
    <w:p w14:paraId="4E91C8B1">
      <w:pPr>
        <w:keepNext w:val="0"/>
        <w:keepLines w:val="0"/>
        <w:pageBreakBefore w:val="0"/>
        <w:widowControl/>
        <w:kinsoku/>
        <w:wordWrap/>
        <w:overflowPunct/>
        <w:topLinePunct w:val="0"/>
        <w:autoSpaceDE/>
        <w:autoSpaceDN/>
        <w:bidi w:val="0"/>
        <w:adjustRightInd w:val="0"/>
        <w:snapToGrid w:val="0"/>
        <w:spacing w:line="240" w:lineRule="auto"/>
        <w:ind w:left="0" w:firstLine="643" w:firstLineChars="200"/>
        <w:contextualSpacing/>
        <w:jc w:val="both"/>
        <w:textAlignment w:val="auto"/>
        <w:rPr>
          <w:rFonts w:hint="default" w:ascii="Times New Roman" w:hAnsi="Times New Roman" w:eastAsia="方正仿宋_GBK" w:cs="Times New Roman"/>
          <w:b/>
          <w:bCs/>
          <w:sz w:val="32"/>
          <w:szCs w:val="32"/>
          <w:lang w:val="zh-CN" w:eastAsia="zh-CN" w:bidi="ar-SA"/>
        </w:rPr>
      </w:pPr>
      <w:r>
        <w:rPr>
          <w:rFonts w:hint="default" w:ascii="Times New Roman" w:hAnsi="Times New Roman" w:eastAsia="方正仿宋_GBK" w:cs="Times New Roman"/>
          <w:b/>
          <w:bCs/>
          <w:sz w:val="32"/>
          <w:szCs w:val="32"/>
          <w:lang w:bidi="ar-SA"/>
        </w:rPr>
        <w:t>3.</w:t>
      </w:r>
      <w:r>
        <w:rPr>
          <w:rFonts w:hint="default" w:ascii="Times New Roman" w:hAnsi="Times New Roman" w:eastAsia="方正仿宋_GBK" w:cs="Times New Roman"/>
          <w:b/>
          <w:bCs/>
          <w:sz w:val="32"/>
          <w:szCs w:val="32"/>
          <w:lang w:val="zh-CN" w:eastAsia="zh-CN" w:bidi="ar-SA"/>
        </w:rPr>
        <w:t>财务管理</w:t>
      </w:r>
    </w:p>
    <w:p w14:paraId="48BB36AB">
      <w:pPr>
        <w:keepNext w:val="0"/>
        <w:keepLines w:val="0"/>
        <w:pageBreakBefore w:val="0"/>
        <w:widowControl w:val="0"/>
        <w:suppressAutoHyphens/>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bCs/>
          <w:color w:val="000000"/>
          <w:sz w:val="32"/>
          <w:szCs w:val="32"/>
          <w:lang w:val="zh-CN" w:eastAsia="zh-CN" w:bidi="ar-SA"/>
        </w:rPr>
      </w:pPr>
      <w:r>
        <w:rPr>
          <w:rFonts w:hint="default" w:ascii="Times New Roman" w:hAnsi="Times New Roman" w:eastAsia="方正仿宋_GBK" w:cs="Times New Roman"/>
          <w:bCs/>
          <w:color w:val="000000"/>
          <w:sz w:val="32"/>
          <w:szCs w:val="32"/>
          <w:lang w:bidi="ar-SA"/>
        </w:rPr>
        <w:t>根据内部监督控制制度，会计出纳岗位设置合理，职责权限明确，并严格实行不相容岗位分离，部门资金使用符合相关财务管理制度规定。</w:t>
      </w:r>
    </w:p>
    <w:p w14:paraId="32CC83E3">
      <w:pPr>
        <w:keepNext w:val="0"/>
        <w:keepLines w:val="0"/>
        <w:pageBreakBefore w:val="0"/>
        <w:widowControl/>
        <w:kinsoku/>
        <w:wordWrap/>
        <w:overflowPunct/>
        <w:topLinePunct w:val="0"/>
        <w:autoSpaceDE/>
        <w:autoSpaceDN/>
        <w:bidi w:val="0"/>
        <w:adjustRightInd w:val="0"/>
        <w:snapToGrid w:val="0"/>
        <w:spacing w:line="240" w:lineRule="auto"/>
        <w:ind w:firstLine="643" w:firstLineChars="200"/>
        <w:contextualSpacing/>
        <w:jc w:val="both"/>
        <w:textAlignment w:val="auto"/>
        <w:rPr>
          <w:rFonts w:hint="default" w:ascii="Times New Roman" w:hAnsi="Times New Roman" w:eastAsia="方正仿宋_GBK" w:cs="Times New Roman"/>
          <w:b/>
          <w:bCs/>
          <w:sz w:val="32"/>
          <w:szCs w:val="32"/>
          <w:lang w:val="zh-CN" w:eastAsia="zh-CN" w:bidi="ar-SA"/>
        </w:rPr>
      </w:pPr>
      <w:r>
        <w:rPr>
          <w:rFonts w:hint="default" w:ascii="Times New Roman" w:hAnsi="Times New Roman" w:eastAsia="方正仿宋_GBK" w:cs="Times New Roman"/>
          <w:b/>
          <w:bCs/>
          <w:sz w:val="32"/>
          <w:szCs w:val="32"/>
          <w:lang w:bidi="ar-SA"/>
        </w:rPr>
        <w:t>4.</w:t>
      </w:r>
      <w:r>
        <w:rPr>
          <w:rFonts w:hint="default" w:ascii="Times New Roman" w:hAnsi="Times New Roman" w:eastAsia="方正仿宋_GBK" w:cs="Times New Roman"/>
          <w:b/>
          <w:bCs/>
          <w:sz w:val="32"/>
          <w:szCs w:val="32"/>
          <w:lang w:val="zh-CN" w:eastAsia="zh-CN" w:bidi="ar-SA"/>
        </w:rPr>
        <w:t>资产管理</w:t>
      </w:r>
    </w:p>
    <w:p w14:paraId="48E463A6">
      <w:pPr>
        <w:keepNext w:val="0"/>
        <w:keepLines w:val="0"/>
        <w:pageBreakBefore w:val="0"/>
        <w:widowControl w:val="0"/>
        <w:suppressAutoHyphens/>
        <w:kinsoku/>
        <w:wordWrap/>
        <w:overflowPunct/>
        <w:topLinePunct w:val="0"/>
        <w:autoSpaceDE/>
        <w:autoSpaceDN/>
        <w:bidi w:val="0"/>
        <w:spacing w:line="240" w:lineRule="auto"/>
        <w:ind w:firstLine="643" w:firstLineChars="200"/>
        <w:textAlignment w:val="auto"/>
        <w:rPr>
          <w:rFonts w:hint="default" w:ascii="Times New Roman" w:hAnsi="Times New Roman" w:eastAsia="方正仿宋_GBK" w:cs="Times New Roman"/>
          <w:bCs/>
          <w:color w:val="000000"/>
          <w:sz w:val="32"/>
          <w:szCs w:val="32"/>
          <w:lang w:val="zh-CN" w:eastAsia="zh-CN" w:bidi="ar-SA"/>
        </w:rPr>
      </w:pPr>
      <w:r>
        <w:rPr>
          <w:rFonts w:hint="default" w:ascii="Times New Roman" w:hAnsi="Times New Roman" w:eastAsia="方正仿宋_GBK" w:cs="Times New Roman"/>
          <w:b/>
          <w:bCs w:val="0"/>
          <w:color w:val="000000"/>
          <w:sz w:val="32"/>
          <w:szCs w:val="32"/>
          <w:lang w:val="en-US" w:eastAsia="zh-CN" w:bidi="ar-SA"/>
        </w:rPr>
        <w:t>2024</w:t>
      </w:r>
      <w:r>
        <w:rPr>
          <w:rFonts w:hint="default" w:ascii="Times New Roman" w:hAnsi="Times New Roman" w:eastAsia="方正仿宋_GBK" w:cs="Times New Roman"/>
          <w:bCs/>
          <w:color w:val="000000"/>
          <w:sz w:val="32"/>
          <w:szCs w:val="32"/>
          <w:lang w:val="en-US" w:eastAsia="zh-CN" w:bidi="ar-SA"/>
        </w:rPr>
        <w:t>年人均资产提高，资产变化率提升，基本办公资产利用率提高，将旧办公桌、旧电脑等资产进行整修盘活，重新使用。</w:t>
      </w:r>
      <w:r>
        <w:rPr>
          <w:rFonts w:hint="default" w:ascii="Times New Roman" w:hAnsi="Times New Roman" w:eastAsia="方正仿宋_GBK" w:cs="Times New Roman"/>
          <w:bCs/>
          <w:color w:val="000000"/>
          <w:sz w:val="32"/>
          <w:szCs w:val="32"/>
          <w:lang w:bidi="ar-SA"/>
        </w:rPr>
        <w:t>部门严格按照资产管理要求，定期清理盘点固定资产，制作资产领取台账、严把资产关口，确保资产有迹可查、有迹可循。</w:t>
      </w:r>
    </w:p>
    <w:p w14:paraId="6A1661AD">
      <w:pPr>
        <w:keepNext w:val="0"/>
        <w:keepLines w:val="0"/>
        <w:pageBreakBefore w:val="0"/>
        <w:widowControl w:val="0"/>
        <w:suppressAutoHyphens/>
        <w:kinsoku/>
        <w:wordWrap/>
        <w:overflowPunct/>
        <w:topLinePunct w:val="0"/>
        <w:autoSpaceDE/>
        <w:autoSpaceDN/>
        <w:bidi w:val="0"/>
        <w:spacing w:line="240" w:lineRule="auto"/>
        <w:ind w:firstLine="643" w:firstLineChars="200"/>
        <w:jc w:val="both"/>
        <w:textAlignment w:val="auto"/>
        <w:rPr>
          <w:rFonts w:hint="default" w:ascii="Times New Roman" w:hAnsi="Times New Roman" w:eastAsia="方正仿宋_GBK" w:cs="Times New Roman"/>
          <w:b/>
          <w:bCs/>
          <w:sz w:val="32"/>
          <w:szCs w:val="32"/>
          <w:lang w:val="zh-CN" w:eastAsia="zh-CN" w:bidi="ar-SA"/>
        </w:rPr>
      </w:pPr>
      <w:r>
        <w:rPr>
          <w:rFonts w:hint="default" w:ascii="Times New Roman" w:hAnsi="Times New Roman" w:eastAsia="方正仿宋_GBK" w:cs="Times New Roman"/>
          <w:b/>
          <w:bCs/>
          <w:sz w:val="32"/>
          <w:szCs w:val="32"/>
          <w:lang w:val="zh-CN" w:eastAsia="zh-CN" w:bidi="ar-SA"/>
        </w:rPr>
        <w:t>5.采购管理</w:t>
      </w:r>
    </w:p>
    <w:p w14:paraId="1B13947B">
      <w:pPr>
        <w:keepNext w:val="0"/>
        <w:keepLines w:val="0"/>
        <w:pageBreakBefore w:val="0"/>
        <w:widowControl w:val="0"/>
        <w:suppressAutoHyphens/>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zh-CN" w:eastAsia="zh-CN" w:bidi="ar-SA"/>
        </w:rPr>
        <w:t>围绕支持中小企业发展、采购执行率进行绩效分析。</w:t>
      </w:r>
      <w:r>
        <w:rPr>
          <w:rFonts w:hint="default" w:ascii="Times New Roman" w:hAnsi="Times New Roman" w:eastAsia="方正仿宋_GBK" w:cs="Times New Roman"/>
          <w:bCs/>
          <w:color w:val="000000"/>
          <w:sz w:val="32"/>
          <w:szCs w:val="32"/>
          <w:lang w:bidi="ar-SA"/>
        </w:rPr>
        <w:t>部门严格按照政府采购管理要求，</w:t>
      </w:r>
      <w:r>
        <w:rPr>
          <w:rFonts w:hint="default" w:ascii="Times New Roman" w:hAnsi="Times New Roman" w:eastAsia="方正仿宋_GBK" w:cs="Times New Roman"/>
          <w:b/>
          <w:bCs w:val="0"/>
          <w:color w:val="000000"/>
          <w:sz w:val="32"/>
          <w:szCs w:val="32"/>
          <w:lang w:bidi="ar-SA"/>
        </w:rPr>
        <w:t>202</w:t>
      </w:r>
      <w:r>
        <w:rPr>
          <w:rFonts w:hint="default" w:ascii="Times New Roman" w:hAnsi="Times New Roman" w:eastAsia="方正仿宋_GBK" w:cs="Times New Roman"/>
          <w:b/>
          <w:bCs w:val="0"/>
          <w:color w:val="000000"/>
          <w:sz w:val="32"/>
          <w:szCs w:val="32"/>
          <w:lang w:val="en-US" w:eastAsia="zh-CN" w:bidi="ar-SA"/>
        </w:rPr>
        <w:t>4</w:t>
      </w:r>
      <w:r>
        <w:rPr>
          <w:rFonts w:hint="default" w:ascii="Times New Roman" w:hAnsi="Times New Roman" w:eastAsia="方正仿宋_GBK" w:cs="Times New Roman"/>
          <w:bCs/>
          <w:color w:val="000000"/>
          <w:sz w:val="32"/>
          <w:szCs w:val="32"/>
          <w:lang w:bidi="ar-SA"/>
        </w:rPr>
        <w:t>年政府采购</w:t>
      </w:r>
      <w:r>
        <w:rPr>
          <w:rFonts w:hint="default" w:ascii="Times New Roman" w:hAnsi="Times New Roman" w:eastAsia="方正仿宋_GBK" w:cs="Times New Roman"/>
          <w:bCs/>
          <w:color w:val="000000"/>
          <w:sz w:val="32"/>
          <w:szCs w:val="32"/>
          <w:lang w:val="en-US" w:eastAsia="zh-CN" w:bidi="ar-SA"/>
        </w:rPr>
        <w:t>合同</w:t>
      </w:r>
      <w:r>
        <w:rPr>
          <w:rFonts w:hint="default" w:ascii="Times New Roman" w:hAnsi="Times New Roman" w:eastAsia="方正仿宋_GBK" w:cs="Times New Roman"/>
          <w:bCs/>
          <w:color w:val="000000"/>
          <w:sz w:val="32"/>
          <w:szCs w:val="32"/>
          <w:lang w:bidi="ar-SA"/>
        </w:rPr>
        <w:t>总金额为</w:t>
      </w:r>
      <w:r>
        <w:rPr>
          <w:rFonts w:hint="default" w:ascii="Times New Roman" w:hAnsi="Times New Roman" w:eastAsia="方正仿宋_GBK" w:cs="Times New Roman"/>
          <w:b/>
          <w:bCs w:val="0"/>
          <w:color w:val="000000"/>
          <w:sz w:val="32"/>
          <w:szCs w:val="32"/>
          <w:lang w:val="en-US" w:eastAsia="zh-CN" w:bidi="ar-SA"/>
        </w:rPr>
        <w:t>27.1</w:t>
      </w:r>
      <w:r>
        <w:rPr>
          <w:rFonts w:hint="eastAsia" w:ascii="Times New Roman" w:hAnsi="Times New Roman" w:eastAsia="方正仿宋_GBK" w:cs="Times New Roman"/>
          <w:b/>
          <w:bCs w:val="0"/>
          <w:color w:val="000000"/>
          <w:sz w:val="32"/>
          <w:szCs w:val="32"/>
          <w:lang w:val="en-US" w:eastAsia="zh-CN" w:bidi="ar-SA"/>
        </w:rPr>
        <w:t>8</w:t>
      </w:r>
      <w:r>
        <w:rPr>
          <w:rFonts w:hint="default" w:ascii="Times New Roman" w:hAnsi="Times New Roman" w:eastAsia="方正仿宋_GBK" w:cs="Times New Roman"/>
          <w:bCs/>
          <w:color w:val="000000"/>
          <w:sz w:val="32"/>
          <w:szCs w:val="32"/>
          <w:lang w:bidi="ar-SA"/>
        </w:rPr>
        <w:t>万元，主要用于购置本年度</w:t>
      </w:r>
      <w:r>
        <w:rPr>
          <w:rFonts w:hint="default" w:ascii="Times New Roman" w:hAnsi="Times New Roman" w:eastAsia="方正仿宋_GBK" w:cs="Times New Roman"/>
          <w:bCs/>
          <w:color w:val="000000"/>
          <w:sz w:val="32"/>
          <w:szCs w:val="32"/>
          <w:lang w:val="en-US" w:eastAsia="zh-CN" w:bidi="ar-SA"/>
        </w:rPr>
        <w:t>公务用车燃油费、维修费等费用，和</w:t>
      </w:r>
      <w:r>
        <w:rPr>
          <w:rFonts w:hint="default" w:ascii="Times New Roman" w:hAnsi="Times New Roman" w:eastAsia="方正仿宋_GBK" w:cs="Times New Roman"/>
          <w:bCs/>
          <w:color w:val="000000"/>
          <w:sz w:val="32"/>
          <w:szCs w:val="32"/>
          <w:lang w:bidi="ar-SA"/>
        </w:rPr>
        <w:t>必需办公设备。</w:t>
      </w:r>
      <w:r>
        <w:rPr>
          <w:rFonts w:hint="default" w:ascii="Times New Roman" w:hAnsi="Times New Roman" w:eastAsia="方正仿宋_GBK" w:cs="Times New Roman"/>
          <w:bCs/>
          <w:color w:val="000000"/>
          <w:sz w:val="32"/>
          <w:szCs w:val="32"/>
          <w:lang w:val="en-US" w:eastAsia="zh-CN" w:bidi="ar-SA"/>
        </w:rPr>
        <w:t>其中，向中小微企业政府采购金额为</w:t>
      </w:r>
      <w:r>
        <w:rPr>
          <w:rFonts w:hint="default" w:ascii="Times New Roman" w:hAnsi="Times New Roman" w:eastAsia="方正仿宋_GBK" w:cs="Times New Roman"/>
          <w:b/>
          <w:bCs w:val="0"/>
          <w:color w:val="000000"/>
          <w:sz w:val="32"/>
          <w:szCs w:val="32"/>
          <w:lang w:val="en-US" w:eastAsia="zh-CN" w:bidi="ar-SA"/>
        </w:rPr>
        <w:t>24.18</w:t>
      </w:r>
      <w:r>
        <w:rPr>
          <w:rFonts w:hint="default" w:ascii="Times New Roman" w:hAnsi="Times New Roman" w:eastAsia="方正仿宋_GBK" w:cs="Times New Roman"/>
          <w:bCs/>
          <w:color w:val="000000"/>
          <w:sz w:val="32"/>
          <w:szCs w:val="32"/>
          <w:lang w:val="en-US" w:eastAsia="zh-CN" w:bidi="ar-SA"/>
        </w:rPr>
        <w:t>万元。</w:t>
      </w:r>
    </w:p>
    <w:p w14:paraId="4859EC9B">
      <w:pPr>
        <w:keepNext w:val="0"/>
        <w:keepLines w:val="0"/>
        <w:pageBreakBefore w:val="0"/>
        <w:widowControl w:val="0"/>
        <w:suppressAutoHyphens/>
        <w:kinsoku/>
        <w:wordWrap/>
        <w:overflowPunct/>
        <w:topLinePunct w:val="0"/>
        <w:autoSpaceDE/>
        <w:autoSpaceDN/>
        <w:bidi w:val="0"/>
        <w:spacing w:line="240" w:lineRule="auto"/>
        <w:ind w:firstLine="643" w:firstLineChars="200"/>
        <w:textAlignment w:val="auto"/>
        <w:rPr>
          <w:rFonts w:hint="default" w:ascii="Times New Roman" w:hAnsi="Times New Roman" w:eastAsia="方正仿宋_GBK" w:cs="Times New Roman"/>
          <w:bCs/>
          <w:color w:val="000000"/>
          <w:sz w:val="32"/>
          <w:szCs w:val="32"/>
          <w:lang w:val="zh-CN" w:eastAsia="zh-CN" w:bidi="ar-SA"/>
        </w:rPr>
      </w:pPr>
      <w:r>
        <w:rPr>
          <w:rFonts w:hint="default" w:ascii="Times New Roman" w:hAnsi="Times New Roman" w:eastAsia="方正仿宋_GBK" w:cs="Times New Roman"/>
          <w:b/>
          <w:bCs w:val="0"/>
          <w:color w:val="000000"/>
          <w:sz w:val="32"/>
          <w:szCs w:val="32"/>
          <w:lang w:val="en-US" w:eastAsia="zh-CN" w:bidi="ar-SA"/>
        </w:rPr>
        <w:t>2024</w:t>
      </w:r>
      <w:r>
        <w:rPr>
          <w:rFonts w:hint="default" w:ascii="Times New Roman" w:hAnsi="Times New Roman" w:eastAsia="方正仿宋_GBK" w:cs="Times New Roman"/>
          <w:bCs/>
          <w:color w:val="000000"/>
          <w:sz w:val="32"/>
          <w:szCs w:val="32"/>
          <w:lang w:val="en-US" w:eastAsia="zh-CN" w:bidi="ar-SA"/>
        </w:rPr>
        <w:t>年政府采购预算为</w:t>
      </w:r>
      <w:r>
        <w:rPr>
          <w:rFonts w:hint="default" w:ascii="Times New Roman" w:hAnsi="Times New Roman" w:eastAsia="方正仿宋_GBK" w:cs="Times New Roman"/>
          <w:b/>
          <w:bCs w:val="0"/>
          <w:color w:val="000000"/>
          <w:sz w:val="32"/>
          <w:szCs w:val="32"/>
          <w:lang w:val="en-US" w:eastAsia="zh-CN" w:bidi="ar-SA"/>
        </w:rPr>
        <w:t>32.51</w:t>
      </w:r>
      <w:r>
        <w:rPr>
          <w:rFonts w:hint="default" w:ascii="Times New Roman" w:hAnsi="Times New Roman" w:eastAsia="方正仿宋_GBK" w:cs="Times New Roman"/>
          <w:bCs/>
          <w:color w:val="000000"/>
          <w:sz w:val="32"/>
          <w:szCs w:val="32"/>
          <w:lang w:val="en-US" w:eastAsia="zh-CN" w:bidi="ar-SA"/>
        </w:rPr>
        <w:t>万元，实际政府采购支出为</w:t>
      </w:r>
      <w:r>
        <w:rPr>
          <w:rFonts w:hint="default" w:ascii="Times New Roman" w:hAnsi="Times New Roman" w:eastAsia="方正仿宋_GBK" w:cs="Times New Roman"/>
          <w:b/>
          <w:bCs/>
          <w:sz w:val="32"/>
          <w:szCs w:val="32"/>
        </w:rPr>
        <w:t>27.18</w:t>
      </w:r>
      <w:r>
        <w:rPr>
          <w:rFonts w:hint="default" w:ascii="Times New Roman" w:hAnsi="Times New Roman" w:eastAsia="方正仿宋_GBK" w:cs="Times New Roman"/>
          <w:bCs/>
          <w:color w:val="000000"/>
          <w:sz w:val="32"/>
          <w:szCs w:val="32"/>
          <w:lang w:val="en-US" w:eastAsia="zh-CN" w:bidi="ar-SA"/>
        </w:rPr>
        <w:t>万元，采购执行率为</w:t>
      </w:r>
      <w:r>
        <w:rPr>
          <w:rFonts w:hint="eastAsia" w:eastAsia="方正仿宋_GBK" w:cs="Times New Roman"/>
          <w:b/>
          <w:bCs w:val="0"/>
          <w:color w:val="000000"/>
          <w:sz w:val="32"/>
          <w:szCs w:val="32"/>
          <w:lang w:val="en-US" w:eastAsia="zh-CN" w:bidi="ar-SA"/>
        </w:rPr>
        <w:t>83.61</w:t>
      </w:r>
      <w:r>
        <w:rPr>
          <w:rFonts w:hint="default" w:ascii="Times New Roman" w:hAnsi="Times New Roman" w:eastAsia="方正仿宋_GBK" w:cs="Times New Roman"/>
          <w:b/>
          <w:bCs w:val="0"/>
          <w:color w:val="000000"/>
          <w:sz w:val="32"/>
          <w:szCs w:val="32"/>
          <w:lang w:val="en-US" w:eastAsia="zh-CN" w:bidi="ar-SA"/>
        </w:rPr>
        <w:t>%</w:t>
      </w:r>
      <w:r>
        <w:rPr>
          <w:rFonts w:hint="default" w:ascii="Times New Roman" w:hAnsi="Times New Roman" w:eastAsia="方正仿宋_GBK" w:cs="Times New Roman"/>
          <w:bCs/>
          <w:color w:val="000000"/>
          <w:sz w:val="32"/>
          <w:szCs w:val="32"/>
          <w:lang w:val="en-US" w:eastAsia="zh-CN" w:bidi="ar-SA"/>
        </w:rPr>
        <w:t>，采购执行率偏低的原因为根据工作实际情况需要，</w:t>
      </w:r>
      <w:r>
        <w:rPr>
          <w:rFonts w:hint="eastAsia" w:ascii="Times New Roman" w:hAnsi="Times New Roman" w:eastAsia="方正仿宋_GBK" w:cs="Times New Roman"/>
          <w:bCs/>
          <w:color w:val="000000"/>
          <w:sz w:val="32"/>
          <w:szCs w:val="32"/>
          <w:lang w:val="en-US" w:eastAsia="zh-CN" w:bidi="ar-SA"/>
        </w:rPr>
        <w:t>采购</w:t>
      </w:r>
      <w:r>
        <w:rPr>
          <w:rFonts w:hint="default" w:ascii="Times New Roman" w:hAnsi="Times New Roman" w:eastAsia="方正仿宋_GBK" w:cs="Times New Roman"/>
          <w:bCs/>
          <w:color w:val="000000"/>
          <w:sz w:val="32"/>
          <w:szCs w:val="32"/>
          <w:lang w:val="en-US" w:eastAsia="zh-CN" w:bidi="ar-SA"/>
        </w:rPr>
        <w:t>内容发生变化。</w:t>
      </w:r>
    </w:p>
    <w:p w14:paraId="25B45776">
      <w:pPr>
        <w:keepNext w:val="0"/>
        <w:keepLines w:val="0"/>
        <w:pageBreakBefore w:val="0"/>
        <w:widowControl/>
        <w:kinsoku/>
        <w:wordWrap/>
        <w:overflowPunct/>
        <w:topLinePunct w:val="0"/>
        <w:autoSpaceDE/>
        <w:autoSpaceDN/>
        <w:bidi w:val="0"/>
        <w:adjustRightInd w:val="0"/>
        <w:snapToGrid w:val="0"/>
        <w:spacing w:line="240" w:lineRule="auto"/>
        <w:ind w:firstLine="643" w:firstLineChars="200"/>
        <w:contextualSpacing/>
        <w:jc w:val="left"/>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b/>
          <w:bCs/>
          <w:sz w:val="32"/>
          <w:szCs w:val="32"/>
          <w:lang w:val="zh-CN" w:eastAsia="zh-CN" w:bidi="ar-SA"/>
        </w:rPr>
        <w:t>（二）部门预算项目绩效分析。</w:t>
      </w:r>
    </w:p>
    <w:p w14:paraId="585D77E9">
      <w:pPr>
        <w:keepNext w:val="0"/>
        <w:keepLines w:val="0"/>
        <w:pageBreakBefore w:val="0"/>
        <w:widowControl w:val="0"/>
        <w:suppressAutoHyphens/>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bCs/>
          <w:color w:val="000000"/>
          <w:sz w:val="32"/>
          <w:szCs w:val="32"/>
          <w:lang w:val="zh-CN" w:eastAsia="zh-CN" w:bidi="ar-SA"/>
        </w:rPr>
      </w:pPr>
      <w:r>
        <w:rPr>
          <w:rFonts w:hint="default" w:ascii="Times New Roman" w:hAnsi="Times New Roman" w:eastAsia="方正仿宋_GBK" w:cs="Times New Roman"/>
          <w:bCs/>
          <w:color w:val="000000"/>
          <w:sz w:val="32"/>
          <w:szCs w:val="32"/>
          <w:lang w:val="zh-CN" w:eastAsia="zh-CN" w:bidi="ar-SA"/>
        </w:rPr>
        <w:t>常年项目绩效分析。该类项目总数</w:t>
      </w:r>
      <w:r>
        <w:rPr>
          <w:rFonts w:hint="default" w:ascii="Times New Roman" w:hAnsi="Times New Roman" w:eastAsia="方正仿宋_GBK" w:cs="Times New Roman"/>
          <w:b/>
          <w:bCs w:val="0"/>
          <w:color w:val="000000"/>
          <w:sz w:val="32"/>
          <w:szCs w:val="32"/>
          <w:lang w:val="en-US" w:eastAsia="zh-CN" w:bidi="ar-SA"/>
        </w:rPr>
        <w:t>1</w:t>
      </w:r>
      <w:r>
        <w:rPr>
          <w:rFonts w:hint="default" w:ascii="Times New Roman" w:hAnsi="Times New Roman" w:eastAsia="方正仿宋_GBK" w:cs="Times New Roman"/>
          <w:bCs/>
          <w:color w:val="000000"/>
          <w:sz w:val="32"/>
          <w:szCs w:val="32"/>
          <w:lang w:val="zh-CN" w:eastAsia="zh-CN" w:bidi="ar-SA"/>
        </w:rPr>
        <w:t>个，涉及预算总金额</w:t>
      </w:r>
      <w:r>
        <w:rPr>
          <w:rFonts w:hint="default" w:ascii="Times New Roman" w:hAnsi="Times New Roman" w:eastAsia="方正仿宋_GBK" w:cs="Times New Roman"/>
          <w:b/>
          <w:bCs w:val="0"/>
          <w:color w:val="000000"/>
          <w:sz w:val="32"/>
          <w:szCs w:val="32"/>
          <w:lang w:val="en-US" w:eastAsia="zh-CN" w:bidi="ar-SA"/>
        </w:rPr>
        <w:t>6.25</w:t>
      </w:r>
      <w:r>
        <w:rPr>
          <w:rFonts w:hint="default" w:ascii="Times New Roman" w:hAnsi="Times New Roman" w:eastAsia="方正仿宋_GBK" w:cs="Times New Roman"/>
          <w:bCs/>
          <w:color w:val="000000"/>
          <w:sz w:val="32"/>
          <w:szCs w:val="32"/>
          <w:lang w:val="zh-CN" w:eastAsia="zh-CN" w:bidi="ar-SA"/>
        </w:rPr>
        <w:t>万元，</w:t>
      </w:r>
      <w:r>
        <w:rPr>
          <w:rFonts w:hint="default" w:ascii="Times New Roman" w:hAnsi="Times New Roman" w:eastAsia="方正仿宋_GBK" w:cs="Times New Roman"/>
          <w:b w:val="0"/>
          <w:bCs/>
          <w:color w:val="000000"/>
          <w:sz w:val="32"/>
          <w:szCs w:val="32"/>
          <w:lang w:val="zh-CN" w:eastAsia="zh-CN" w:bidi="ar-SA"/>
        </w:rPr>
        <w:t>1—12</w:t>
      </w:r>
      <w:r>
        <w:rPr>
          <w:rFonts w:hint="default" w:ascii="Times New Roman" w:hAnsi="Times New Roman" w:eastAsia="方正仿宋_GBK" w:cs="Times New Roman"/>
          <w:bCs/>
          <w:color w:val="000000"/>
          <w:sz w:val="32"/>
          <w:szCs w:val="32"/>
          <w:lang w:val="zh-CN" w:eastAsia="zh-CN" w:bidi="ar-SA"/>
        </w:rPr>
        <w:t>月预算执行总体进度为</w:t>
      </w:r>
      <w:r>
        <w:rPr>
          <w:rFonts w:hint="default" w:ascii="Times New Roman" w:hAnsi="Times New Roman" w:eastAsia="方正仿宋_GBK" w:cs="Times New Roman"/>
          <w:b/>
          <w:bCs w:val="0"/>
          <w:color w:val="000000"/>
          <w:sz w:val="32"/>
          <w:szCs w:val="32"/>
          <w:lang w:bidi="ar-SA"/>
        </w:rPr>
        <w:t>100</w:t>
      </w:r>
      <w:r>
        <w:rPr>
          <w:rFonts w:hint="default" w:ascii="Times New Roman" w:hAnsi="Times New Roman" w:eastAsia="方正仿宋_GBK" w:cs="Times New Roman"/>
          <w:b/>
          <w:bCs w:val="0"/>
          <w:color w:val="000000"/>
          <w:sz w:val="32"/>
          <w:szCs w:val="32"/>
          <w:lang w:val="zh-CN" w:eastAsia="zh-CN" w:bidi="ar-SA"/>
        </w:rPr>
        <w:t>%</w:t>
      </w:r>
      <w:r>
        <w:rPr>
          <w:rFonts w:hint="default" w:ascii="Times New Roman" w:hAnsi="Times New Roman" w:eastAsia="方正仿宋_GBK" w:cs="Times New Roman"/>
          <w:bCs/>
          <w:color w:val="000000"/>
          <w:sz w:val="32"/>
          <w:szCs w:val="32"/>
          <w:lang w:val="zh-CN" w:eastAsia="zh-CN" w:bidi="ar-SA"/>
        </w:rPr>
        <w:t>，其中：预算结余率大于</w:t>
      </w:r>
      <w:r>
        <w:rPr>
          <w:rFonts w:hint="default" w:ascii="Times New Roman" w:hAnsi="Times New Roman" w:eastAsia="方正仿宋_GBK" w:cs="Times New Roman"/>
          <w:b/>
          <w:bCs w:val="0"/>
          <w:color w:val="000000"/>
          <w:sz w:val="32"/>
          <w:szCs w:val="32"/>
          <w:lang w:val="zh-CN" w:eastAsia="zh-CN" w:bidi="ar-SA"/>
        </w:rPr>
        <w:t>10%</w:t>
      </w:r>
      <w:r>
        <w:rPr>
          <w:rFonts w:hint="default" w:ascii="Times New Roman" w:hAnsi="Times New Roman" w:eastAsia="方正仿宋_GBK" w:cs="Times New Roman"/>
          <w:bCs/>
          <w:color w:val="000000"/>
          <w:sz w:val="32"/>
          <w:szCs w:val="32"/>
          <w:lang w:val="zh-CN" w:eastAsia="zh-CN" w:bidi="ar-SA"/>
        </w:rPr>
        <w:t>的项目共计</w:t>
      </w:r>
      <w:r>
        <w:rPr>
          <w:rFonts w:hint="default" w:ascii="Times New Roman" w:hAnsi="Times New Roman" w:eastAsia="方正仿宋_GBK" w:cs="Times New Roman"/>
          <w:b/>
          <w:bCs w:val="0"/>
          <w:color w:val="000000"/>
          <w:sz w:val="32"/>
          <w:szCs w:val="32"/>
          <w:lang w:bidi="ar-SA"/>
        </w:rPr>
        <w:t>0</w:t>
      </w:r>
      <w:r>
        <w:rPr>
          <w:rFonts w:hint="default" w:ascii="Times New Roman" w:hAnsi="Times New Roman" w:eastAsia="方正仿宋_GBK" w:cs="Times New Roman"/>
          <w:bCs/>
          <w:color w:val="000000"/>
          <w:sz w:val="32"/>
          <w:szCs w:val="32"/>
          <w:lang w:val="zh-CN" w:eastAsia="zh-CN" w:bidi="ar-SA"/>
        </w:rPr>
        <w:t>个。</w:t>
      </w:r>
    </w:p>
    <w:p w14:paraId="581A2EC2">
      <w:pPr>
        <w:keepNext w:val="0"/>
        <w:keepLines w:val="0"/>
        <w:pageBreakBefore w:val="0"/>
        <w:widowControl w:val="0"/>
        <w:suppressAutoHyphens/>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bCs/>
          <w:color w:val="000000"/>
          <w:sz w:val="32"/>
          <w:szCs w:val="32"/>
          <w:lang w:val="zh-CN" w:eastAsia="zh-CN" w:bidi="ar-SA"/>
        </w:rPr>
      </w:pPr>
      <w:r>
        <w:rPr>
          <w:rFonts w:hint="default" w:ascii="Times New Roman" w:hAnsi="Times New Roman" w:eastAsia="方正仿宋_GBK" w:cs="Times New Roman"/>
          <w:bCs/>
          <w:color w:val="000000"/>
          <w:sz w:val="32"/>
          <w:szCs w:val="32"/>
          <w:lang w:val="zh-CN" w:eastAsia="zh-CN" w:bidi="ar-SA"/>
        </w:rPr>
        <w:t>阶段（一次性）项目绩效分析。该类项目总数</w:t>
      </w:r>
      <w:r>
        <w:rPr>
          <w:rFonts w:hint="eastAsia" w:eastAsia="方正仿宋_GBK" w:cs="Times New Roman"/>
          <w:b/>
          <w:bCs w:val="0"/>
          <w:color w:val="000000"/>
          <w:sz w:val="32"/>
          <w:szCs w:val="32"/>
          <w:lang w:val="en-US" w:eastAsia="zh-CN" w:bidi="ar-SA"/>
        </w:rPr>
        <w:t>10</w:t>
      </w:r>
      <w:r>
        <w:rPr>
          <w:rFonts w:hint="default" w:ascii="Times New Roman" w:hAnsi="Times New Roman" w:eastAsia="方正仿宋_GBK" w:cs="Times New Roman"/>
          <w:bCs/>
          <w:color w:val="000000"/>
          <w:sz w:val="32"/>
          <w:szCs w:val="32"/>
          <w:lang w:val="zh-CN" w:eastAsia="zh-CN" w:bidi="ar-SA"/>
        </w:rPr>
        <w:t>个，涉及预算总金额</w:t>
      </w:r>
      <w:r>
        <w:rPr>
          <w:rFonts w:hint="eastAsia" w:eastAsia="方正仿宋_GBK" w:cs="Times New Roman"/>
          <w:b/>
          <w:bCs w:val="0"/>
          <w:color w:val="000000"/>
          <w:sz w:val="32"/>
          <w:szCs w:val="32"/>
          <w:lang w:val="en-US" w:eastAsia="zh-CN" w:bidi="ar-SA"/>
        </w:rPr>
        <w:t>1905.74</w:t>
      </w:r>
      <w:r>
        <w:rPr>
          <w:rFonts w:hint="default" w:ascii="Times New Roman" w:hAnsi="Times New Roman" w:eastAsia="方正仿宋_GBK" w:cs="Times New Roman"/>
          <w:bCs/>
          <w:color w:val="000000"/>
          <w:sz w:val="32"/>
          <w:szCs w:val="32"/>
          <w:lang w:val="zh-CN" w:eastAsia="zh-CN" w:bidi="ar-SA"/>
        </w:rPr>
        <w:t>万元，1—12月预算执行总体进度为</w:t>
      </w:r>
      <w:r>
        <w:rPr>
          <w:rFonts w:hint="default" w:ascii="Times New Roman" w:hAnsi="Times New Roman" w:eastAsia="方正仿宋_GBK" w:cs="Times New Roman"/>
          <w:b/>
          <w:bCs w:val="0"/>
          <w:color w:val="000000"/>
          <w:sz w:val="32"/>
          <w:szCs w:val="32"/>
          <w:lang w:bidi="ar-SA"/>
        </w:rPr>
        <w:t>100</w:t>
      </w:r>
      <w:r>
        <w:rPr>
          <w:rFonts w:hint="default" w:ascii="Times New Roman" w:hAnsi="Times New Roman" w:eastAsia="方正仿宋_GBK" w:cs="Times New Roman"/>
          <w:b/>
          <w:bCs w:val="0"/>
          <w:color w:val="000000"/>
          <w:sz w:val="32"/>
          <w:szCs w:val="32"/>
          <w:lang w:val="zh-CN" w:eastAsia="zh-CN" w:bidi="ar-SA"/>
        </w:rPr>
        <w:t>%</w:t>
      </w:r>
      <w:r>
        <w:rPr>
          <w:rFonts w:hint="default" w:ascii="Times New Roman" w:hAnsi="Times New Roman" w:eastAsia="方正仿宋_GBK" w:cs="Times New Roman"/>
          <w:bCs/>
          <w:color w:val="000000"/>
          <w:sz w:val="32"/>
          <w:szCs w:val="32"/>
          <w:lang w:val="zh-CN" w:eastAsia="zh-CN" w:bidi="ar-SA"/>
        </w:rPr>
        <w:t>，其中：预算结余率大于</w:t>
      </w:r>
      <w:r>
        <w:rPr>
          <w:rFonts w:hint="default" w:ascii="Times New Roman" w:hAnsi="Times New Roman" w:eastAsia="方正仿宋_GBK" w:cs="Times New Roman"/>
          <w:b/>
          <w:bCs w:val="0"/>
          <w:color w:val="000000"/>
          <w:sz w:val="32"/>
          <w:szCs w:val="32"/>
          <w:lang w:val="zh-CN" w:eastAsia="zh-CN" w:bidi="ar-SA"/>
        </w:rPr>
        <w:t>10%</w:t>
      </w:r>
      <w:r>
        <w:rPr>
          <w:rFonts w:hint="default" w:ascii="Times New Roman" w:hAnsi="Times New Roman" w:eastAsia="方正仿宋_GBK" w:cs="Times New Roman"/>
          <w:bCs/>
          <w:color w:val="000000"/>
          <w:sz w:val="32"/>
          <w:szCs w:val="32"/>
          <w:lang w:val="zh-CN" w:eastAsia="zh-CN" w:bidi="ar-SA"/>
        </w:rPr>
        <w:t>的项目共计</w:t>
      </w:r>
      <w:r>
        <w:rPr>
          <w:rFonts w:hint="default" w:ascii="Times New Roman" w:hAnsi="Times New Roman" w:eastAsia="方正仿宋_GBK" w:cs="Times New Roman"/>
          <w:b/>
          <w:bCs w:val="0"/>
          <w:color w:val="000000"/>
          <w:sz w:val="32"/>
          <w:szCs w:val="32"/>
          <w:lang w:bidi="ar-SA"/>
        </w:rPr>
        <w:t>0</w:t>
      </w:r>
      <w:r>
        <w:rPr>
          <w:rFonts w:hint="default" w:ascii="Times New Roman" w:hAnsi="Times New Roman" w:eastAsia="方正仿宋_GBK" w:cs="Times New Roman"/>
          <w:bCs/>
          <w:color w:val="000000"/>
          <w:sz w:val="32"/>
          <w:szCs w:val="32"/>
          <w:lang w:val="zh-CN" w:eastAsia="zh-CN" w:bidi="ar-SA"/>
        </w:rPr>
        <w:t>个。</w:t>
      </w:r>
    </w:p>
    <w:p w14:paraId="7535122F">
      <w:pPr>
        <w:keepNext w:val="0"/>
        <w:keepLines w:val="0"/>
        <w:pageBreakBefore w:val="0"/>
        <w:widowControl w:val="0"/>
        <w:kinsoku/>
        <w:wordWrap/>
        <w:overflowPunct/>
        <w:topLinePunct w:val="0"/>
        <w:autoSpaceDE/>
        <w:autoSpaceDN/>
        <w:bidi w:val="0"/>
        <w:spacing w:line="240" w:lineRule="auto"/>
        <w:ind w:firstLine="643" w:firstLineChars="200"/>
        <w:textAlignment w:val="auto"/>
        <w:rPr>
          <w:rFonts w:hint="default" w:ascii="Times New Roman" w:hAnsi="Times New Roman" w:eastAsia="方正仿宋_GBK" w:cs="Times New Roman"/>
          <w:b/>
          <w:bCs/>
          <w:sz w:val="32"/>
          <w:szCs w:val="32"/>
          <w:lang w:val="zh-CN" w:eastAsia="zh-CN" w:bidi="ar-SA"/>
        </w:rPr>
      </w:pPr>
      <w:r>
        <w:rPr>
          <w:rFonts w:hint="default" w:ascii="Times New Roman" w:hAnsi="Times New Roman" w:eastAsia="方正仿宋_GBK" w:cs="Times New Roman"/>
          <w:b/>
          <w:bCs/>
          <w:sz w:val="32"/>
          <w:szCs w:val="32"/>
          <w:lang w:bidi="ar-SA"/>
        </w:rPr>
        <w:t>1.</w:t>
      </w:r>
      <w:r>
        <w:rPr>
          <w:rFonts w:hint="default" w:ascii="Times New Roman" w:hAnsi="Times New Roman" w:eastAsia="方正仿宋_GBK" w:cs="Times New Roman"/>
          <w:b/>
          <w:bCs/>
          <w:sz w:val="32"/>
          <w:szCs w:val="32"/>
          <w:lang w:val="zh-CN" w:eastAsia="zh-CN" w:bidi="ar-SA"/>
        </w:rPr>
        <w:t>项目决策</w:t>
      </w:r>
    </w:p>
    <w:p w14:paraId="6DCFF16C">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决策程序上，部门预算阶段项目（含一次性项目）共</w:t>
      </w:r>
      <w:r>
        <w:rPr>
          <w:rFonts w:hint="eastAsia" w:eastAsia="方正仿宋_GBK" w:cs="Times New Roman"/>
          <w:b/>
          <w:bCs/>
          <w:sz w:val="32"/>
          <w:szCs w:val="32"/>
          <w:lang w:val="en-US" w:eastAsia="zh-CN" w:bidi="ar-SA"/>
        </w:rPr>
        <w:t>10</w:t>
      </w:r>
      <w:r>
        <w:rPr>
          <w:rFonts w:hint="default" w:ascii="Times New Roman" w:hAnsi="Times New Roman" w:eastAsia="方正仿宋_GBK" w:cs="Times New Roman"/>
          <w:sz w:val="32"/>
          <w:szCs w:val="32"/>
          <w:lang w:bidi="ar-SA"/>
        </w:rPr>
        <w:t>个，其中未履行事前评估程序的</w:t>
      </w:r>
      <w:r>
        <w:rPr>
          <w:rFonts w:hint="default" w:ascii="Times New Roman" w:hAnsi="Times New Roman" w:eastAsia="方正仿宋_GBK" w:cs="Times New Roman"/>
          <w:b/>
          <w:bCs/>
          <w:sz w:val="32"/>
          <w:szCs w:val="32"/>
          <w:lang w:bidi="ar-SA"/>
        </w:rPr>
        <w:t>0</w:t>
      </w:r>
      <w:r>
        <w:rPr>
          <w:rFonts w:hint="default" w:ascii="Times New Roman" w:hAnsi="Times New Roman" w:eastAsia="方正仿宋_GBK" w:cs="Times New Roman"/>
          <w:sz w:val="32"/>
          <w:szCs w:val="32"/>
          <w:lang w:bidi="ar-SA"/>
        </w:rPr>
        <w:t>个。</w:t>
      </w:r>
    </w:p>
    <w:p w14:paraId="0298BC48">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目标设置上，预算安排匹配部门预算阶段项目（含一次性项目）</w:t>
      </w:r>
    </w:p>
    <w:p w14:paraId="337766AF">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lang w:val="zh-CN" w:eastAsia="zh-CN" w:bidi="ar-SA"/>
        </w:rPr>
      </w:pP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项目入库上，部门预算阶段项目入库均在规定时间内完成。</w:t>
      </w:r>
    </w:p>
    <w:p w14:paraId="3D23B252">
      <w:pPr>
        <w:keepNext w:val="0"/>
        <w:keepLines w:val="0"/>
        <w:pageBreakBefore w:val="0"/>
        <w:widowControl w:val="0"/>
        <w:kinsoku/>
        <w:wordWrap/>
        <w:overflowPunct/>
        <w:topLinePunct w:val="0"/>
        <w:autoSpaceDE/>
        <w:autoSpaceDN/>
        <w:bidi w:val="0"/>
        <w:spacing w:line="240" w:lineRule="auto"/>
        <w:ind w:firstLine="643" w:firstLineChars="200"/>
        <w:textAlignment w:val="auto"/>
        <w:rPr>
          <w:rFonts w:hint="default" w:ascii="Times New Roman" w:hAnsi="Times New Roman" w:eastAsia="方正仿宋_GBK" w:cs="Times New Roman"/>
          <w:b/>
          <w:bCs/>
          <w:sz w:val="32"/>
          <w:szCs w:val="32"/>
          <w:lang w:val="zh-CN" w:eastAsia="zh-CN" w:bidi="ar-SA"/>
        </w:rPr>
      </w:pPr>
      <w:r>
        <w:rPr>
          <w:rFonts w:hint="default" w:ascii="Times New Roman" w:hAnsi="Times New Roman" w:eastAsia="方正仿宋_GBK" w:cs="Times New Roman"/>
          <w:b/>
          <w:bCs/>
          <w:sz w:val="32"/>
          <w:szCs w:val="32"/>
          <w:lang w:bidi="ar-SA"/>
        </w:rPr>
        <w:t>2.项目执行</w:t>
      </w:r>
    </w:p>
    <w:p w14:paraId="2F0A11E8">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lang w:val="zh-CN" w:eastAsia="zh-CN" w:bidi="ar-SA"/>
        </w:rPr>
      </w:pPr>
      <w:r>
        <w:rPr>
          <w:rFonts w:hint="default" w:ascii="Times New Roman" w:hAnsi="Times New Roman" w:eastAsia="方正仿宋_GBK" w:cs="Times New Roman"/>
          <w:sz w:val="32"/>
          <w:szCs w:val="32"/>
          <w:lang w:val="zh-CN" w:eastAsia="zh-CN" w:bidi="ar-SA"/>
        </w:rPr>
        <w:t>（</w:t>
      </w:r>
      <w:r>
        <w:rPr>
          <w:rFonts w:hint="default"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zh-CN" w:eastAsia="zh-CN" w:bidi="ar-SA"/>
        </w:rPr>
        <w:t>）资金执行同向上，部门预算阶段项目（含一次性项目）实际列支内容均与绩效目标设置方向相符，不存在不相符的情况。</w:t>
      </w:r>
    </w:p>
    <w:p w14:paraId="096A91F0">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lang w:val="zh-CN" w:eastAsia="zh-CN" w:bidi="ar-SA"/>
        </w:rPr>
      </w:pPr>
      <w:r>
        <w:rPr>
          <w:rFonts w:hint="default" w:ascii="Times New Roman" w:hAnsi="Times New Roman" w:eastAsia="方正仿宋_GBK" w:cs="Times New Roman"/>
          <w:sz w:val="32"/>
          <w:szCs w:val="32"/>
          <w:lang w:val="zh-CN" w:eastAsia="zh-CN" w:bidi="ar-SA"/>
        </w:rPr>
        <w:t>（</w:t>
      </w:r>
      <w:r>
        <w:rPr>
          <w:rFonts w:hint="default"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zh-CN" w:eastAsia="zh-CN" w:bidi="ar-SA"/>
        </w:rPr>
        <w:t>）项目调整上，不存在应采取未采取收回预算、调整目标等处置措施的部门预算阶段项目（含一次性项目）。</w:t>
      </w:r>
    </w:p>
    <w:p w14:paraId="1CF12680">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val="zh-CN" w:eastAsia="zh-CN" w:bidi="ar-SA"/>
        </w:rPr>
        <w:t>（</w:t>
      </w:r>
      <w:r>
        <w:rPr>
          <w:rFonts w:hint="default"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zh-CN" w:eastAsia="zh-CN" w:bidi="ar-SA"/>
        </w:rPr>
        <w:t>）执行结果上，部门预算阶段项目（含一次性项目）预算结余率</w:t>
      </w:r>
      <w:r>
        <w:rPr>
          <w:rFonts w:hint="default" w:ascii="Times New Roman" w:hAnsi="Times New Roman" w:eastAsia="方正仿宋_GBK" w:cs="Times New Roman"/>
          <w:sz w:val="32"/>
          <w:szCs w:val="32"/>
          <w:lang w:bidi="ar-SA"/>
        </w:rPr>
        <w:t>均</w:t>
      </w:r>
      <w:r>
        <w:rPr>
          <w:rFonts w:hint="default" w:ascii="Times New Roman" w:hAnsi="Times New Roman" w:eastAsia="方正仿宋_GBK" w:cs="Times New Roman"/>
          <w:sz w:val="32"/>
          <w:szCs w:val="32"/>
          <w:lang w:val="zh-CN" w:eastAsia="zh-CN" w:bidi="ar-SA"/>
        </w:rPr>
        <w:t>小于</w:t>
      </w:r>
      <w:r>
        <w:rPr>
          <w:rFonts w:hint="default" w:ascii="Times New Roman" w:hAnsi="Times New Roman" w:eastAsia="方正仿宋_GBK" w:cs="Times New Roman"/>
          <w:b/>
          <w:bCs/>
          <w:sz w:val="32"/>
          <w:szCs w:val="32"/>
          <w:lang w:val="zh-CN" w:eastAsia="zh-CN" w:bidi="ar-SA"/>
        </w:rPr>
        <w:t>10%</w:t>
      </w:r>
      <w:r>
        <w:rPr>
          <w:rFonts w:hint="default" w:ascii="Times New Roman" w:hAnsi="Times New Roman" w:eastAsia="方正仿宋_GBK" w:cs="Times New Roman"/>
          <w:sz w:val="32"/>
          <w:szCs w:val="32"/>
          <w:lang w:val="zh-CN" w:eastAsia="zh-CN" w:bidi="ar-SA"/>
        </w:rPr>
        <w:t>。</w:t>
      </w:r>
    </w:p>
    <w:p w14:paraId="195251F4">
      <w:pPr>
        <w:keepNext w:val="0"/>
        <w:keepLines w:val="0"/>
        <w:pageBreakBefore w:val="0"/>
        <w:widowControl w:val="0"/>
        <w:kinsoku/>
        <w:wordWrap/>
        <w:overflowPunct/>
        <w:topLinePunct w:val="0"/>
        <w:autoSpaceDE/>
        <w:autoSpaceDN/>
        <w:bidi w:val="0"/>
        <w:spacing w:line="240" w:lineRule="auto"/>
        <w:ind w:firstLine="643" w:firstLineChars="200"/>
        <w:textAlignment w:val="auto"/>
        <w:rPr>
          <w:rFonts w:hint="default" w:ascii="Times New Roman" w:hAnsi="Times New Roman" w:eastAsia="方正仿宋_GBK" w:cs="Times New Roman"/>
          <w:b/>
          <w:bCs/>
          <w:sz w:val="32"/>
          <w:szCs w:val="32"/>
          <w:lang w:val="zh-CN" w:eastAsia="zh-CN" w:bidi="ar-SA"/>
        </w:rPr>
      </w:pPr>
      <w:r>
        <w:rPr>
          <w:rFonts w:hint="default" w:ascii="Times New Roman" w:hAnsi="Times New Roman" w:eastAsia="方正仿宋_GBK" w:cs="Times New Roman"/>
          <w:b/>
          <w:bCs/>
          <w:sz w:val="32"/>
          <w:szCs w:val="32"/>
          <w:lang w:bidi="ar-SA"/>
        </w:rPr>
        <w:t>3.</w:t>
      </w:r>
      <w:r>
        <w:rPr>
          <w:rFonts w:hint="default" w:ascii="Times New Roman" w:hAnsi="Times New Roman" w:eastAsia="方正仿宋_GBK" w:cs="Times New Roman"/>
          <w:b/>
          <w:bCs/>
          <w:sz w:val="32"/>
          <w:szCs w:val="32"/>
          <w:lang w:val="zh-CN" w:eastAsia="zh-CN" w:bidi="ar-SA"/>
        </w:rPr>
        <w:t>目标实现</w:t>
      </w:r>
    </w:p>
    <w:p w14:paraId="79AA1FFB">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lang w:val="zh-CN" w:eastAsia="zh-CN" w:bidi="ar-SA"/>
        </w:rPr>
      </w:pPr>
      <w:r>
        <w:rPr>
          <w:rFonts w:hint="default" w:ascii="Times New Roman" w:hAnsi="Times New Roman" w:eastAsia="方正仿宋_GBK" w:cs="Times New Roman"/>
          <w:sz w:val="32"/>
          <w:szCs w:val="32"/>
          <w:lang w:val="zh-CN" w:eastAsia="zh-CN" w:bidi="ar-SA"/>
        </w:rPr>
        <w:t>（</w:t>
      </w:r>
      <w:r>
        <w:rPr>
          <w:rFonts w:hint="default"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zh-CN" w:eastAsia="zh-CN" w:bidi="ar-SA"/>
        </w:rPr>
        <w:t>）目标完成上，部门预算阶段项目（含一次性项目）</w:t>
      </w:r>
      <w:r>
        <w:rPr>
          <w:rFonts w:hint="default" w:ascii="Times New Roman" w:hAnsi="Times New Roman" w:eastAsia="方正仿宋_GBK" w:cs="Times New Roman"/>
          <w:sz w:val="32"/>
          <w:szCs w:val="32"/>
          <w:lang w:bidi="ar-SA"/>
        </w:rPr>
        <w:t>均完成目标</w:t>
      </w:r>
      <w:r>
        <w:rPr>
          <w:rFonts w:hint="default" w:ascii="Times New Roman" w:hAnsi="Times New Roman" w:eastAsia="方正仿宋_GBK" w:cs="Times New Roman"/>
          <w:sz w:val="32"/>
          <w:szCs w:val="32"/>
          <w:lang w:val="zh-CN" w:eastAsia="zh-CN" w:bidi="ar-SA"/>
        </w:rPr>
        <w:t>。</w:t>
      </w:r>
    </w:p>
    <w:p w14:paraId="08955F99">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val="zh-CN" w:eastAsia="zh-CN" w:bidi="ar-SA"/>
        </w:rPr>
        <w:t>（</w:t>
      </w:r>
      <w:r>
        <w:rPr>
          <w:rFonts w:hint="default"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zh-CN" w:eastAsia="zh-CN" w:bidi="ar-SA"/>
        </w:rPr>
        <w:t>）目标偏离上，部门预算阶段项目（含一次性项目）所有已完成预期指标值的数量指标中偏离度均在</w:t>
      </w:r>
      <w:r>
        <w:rPr>
          <w:rFonts w:hint="default" w:ascii="Times New Roman" w:hAnsi="Times New Roman" w:eastAsia="方正仿宋_GBK" w:cs="Times New Roman"/>
          <w:b/>
          <w:bCs/>
          <w:sz w:val="32"/>
          <w:szCs w:val="32"/>
          <w:lang w:bidi="ar-SA"/>
        </w:rPr>
        <w:t>10</w:t>
      </w:r>
      <w:r>
        <w:rPr>
          <w:rFonts w:hint="default" w:ascii="Times New Roman" w:hAnsi="Times New Roman" w:eastAsia="方正仿宋_GBK" w:cs="Times New Roman"/>
          <w:b/>
          <w:bCs/>
          <w:sz w:val="32"/>
          <w:szCs w:val="32"/>
          <w:lang w:val="zh-CN" w:eastAsia="zh-CN" w:bidi="ar-SA"/>
        </w:rPr>
        <w:t>%</w:t>
      </w:r>
      <w:r>
        <w:rPr>
          <w:rFonts w:hint="default" w:ascii="Times New Roman" w:hAnsi="Times New Roman" w:eastAsia="方正仿宋_GBK" w:cs="Times New Roman"/>
          <w:sz w:val="32"/>
          <w:szCs w:val="32"/>
          <w:lang w:bidi="ar-SA"/>
        </w:rPr>
        <w:t>以</w:t>
      </w:r>
      <w:r>
        <w:rPr>
          <w:rFonts w:hint="default" w:ascii="Times New Roman" w:hAnsi="Times New Roman" w:eastAsia="方正仿宋_GBK" w:cs="Times New Roman"/>
          <w:sz w:val="32"/>
          <w:szCs w:val="32"/>
          <w:lang w:val="zh-CN" w:eastAsia="zh-CN" w:bidi="ar-SA"/>
        </w:rPr>
        <w:t>内。</w:t>
      </w:r>
    </w:p>
    <w:p w14:paraId="4E467B83">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lang w:val="zh-CN" w:eastAsia="zh-CN" w:bidi="ar-SA"/>
        </w:rPr>
      </w:pPr>
      <w:r>
        <w:rPr>
          <w:rFonts w:hint="default" w:ascii="Times New Roman" w:hAnsi="Times New Roman" w:eastAsia="方正仿宋_GBK" w:cs="Times New Roman"/>
          <w:sz w:val="32"/>
          <w:szCs w:val="32"/>
          <w:lang w:val="zh-CN" w:eastAsia="zh-CN" w:bidi="ar-SA"/>
        </w:rPr>
        <w:t>（</w:t>
      </w:r>
      <w:r>
        <w:rPr>
          <w:rFonts w:hint="default"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zh-CN" w:eastAsia="zh-CN" w:bidi="ar-SA"/>
        </w:rPr>
        <w:t>）实现效果上，部门预算阶段项目（含一次性项目）均已完成绩效目标效益指标。</w:t>
      </w:r>
    </w:p>
    <w:p w14:paraId="33018EDF">
      <w:pPr>
        <w:keepNext w:val="0"/>
        <w:keepLines w:val="0"/>
        <w:pageBreakBefore w:val="0"/>
        <w:widowControl w:val="0"/>
        <w:kinsoku/>
        <w:wordWrap/>
        <w:overflowPunct/>
        <w:topLinePunct w:val="0"/>
        <w:autoSpaceDE/>
        <w:autoSpaceDN/>
        <w:bidi w:val="0"/>
        <w:spacing w:line="240" w:lineRule="auto"/>
        <w:ind w:firstLine="643" w:firstLineChars="200"/>
        <w:textAlignment w:val="auto"/>
        <w:rPr>
          <w:rFonts w:hint="default" w:ascii="Times New Roman" w:hAnsi="Times New Roman" w:eastAsia="方正仿宋_GBK" w:cs="Times New Roman"/>
          <w:sz w:val="32"/>
          <w:szCs w:val="32"/>
          <w:lang w:val="zh-CN" w:eastAsia="zh-CN" w:bidi="ar-SA"/>
        </w:rPr>
      </w:pPr>
      <w:r>
        <w:rPr>
          <w:rFonts w:hint="default" w:ascii="Times New Roman" w:hAnsi="Times New Roman" w:eastAsia="方正仿宋_GBK" w:cs="Times New Roman"/>
          <w:b/>
          <w:bCs/>
          <w:sz w:val="32"/>
          <w:szCs w:val="32"/>
          <w:lang w:val="zh-CN" w:eastAsia="zh-CN" w:bidi="ar-SA"/>
        </w:rPr>
        <w:t>2024</w:t>
      </w:r>
      <w:r>
        <w:rPr>
          <w:rFonts w:hint="default" w:ascii="Times New Roman" w:hAnsi="Times New Roman" w:eastAsia="方正仿宋_GBK" w:cs="Times New Roman"/>
          <w:sz w:val="32"/>
          <w:szCs w:val="32"/>
          <w:lang w:val="zh-CN" w:eastAsia="zh-CN" w:bidi="ar-SA"/>
        </w:rPr>
        <w:t>年度一般公共预算安排的常年项目、阶段项目绩效目标</w:t>
      </w:r>
      <w:r>
        <w:rPr>
          <w:rFonts w:hint="default" w:ascii="Times New Roman" w:hAnsi="Times New Roman" w:eastAsia="方正仿宋_GBK" w:cs="Times New Roman"/>
          <w:sz w:val="32"/>
          <w:szCs w:val="32"/>
          <w:lang w:val="en-US" w:eastAsia="zh-CN" w:bidi="ar-SA"/>
        </w:rPr>
        <w:t>均已完成</w:t>
      </w:r>
      <w:r>
        <w:rPr>
          <w:rFonts w:hint="default" w:ascii="Times New Roman" w:hAnsi="Times New Roman" w:eastAsia="方正仿宋_GBK" w:cs="Times New Roman"/>
          <w:sz w:val="32"/>
          <w:szCs w:val="32"/>
          <w:lang w:val="zh-CN" w:eastAsia="zh-CN" w:bidi="ar-SA"/>
        </w:rPr>
        <w:t>，</w:t>
      </w:r>
      <w:r>
        <w:rPr>
          <w:rFonts w:hint="default" w:ascii="Times New Roman" w:hAnsi="Times New Roman" w:eastAsia="方正仿宋_GBK" w:cs="Times New Roman"/>
          <w:sz w:val="32"/>
          <w:szCs w:val="32"/>
          <w:lang w:val="en-US" w:eastAsia="zh-CN" w:bidi="ar-SA"/>
        </w:rPr>
        <w:t>不涉及</w:t>
      </w:r>
      <w:r>
        <w:rPr>
          <w:rFonts w:hint="default" w:ascii="Times New Roman" w:hAnsi="Times New Roman" w:eastAsia="方正仿宋_GBK" w:cs="Times New Roman"/>
          <w:sz w:val="32"/>
          <w:szCs w:val="32"/>
          <w:lang w:val="zh-CN" w:eastAsia="zh-CN" w:bidi="ar-SA"/>
        </w:rPr>
        <w:t>债券资金、政府购买服务。</w:t>
      </w:r>
    </w:p>
    <w:p w14:paraId="77728A1A">
      <w:pPr>
        <w:keepNext w:val="0"/>
        <w:keepLines w:val="0"/>
        <w:pageBreakBefore w:val="0"/>
        <w:widowControl w:val="0"/>
        <w:kinsoku/>
        <w:wordWrap/>
        <w:overflowPunct/>
        <w:topLinePunct w:val="0"/>
        <w:autoSpaceDE/>
        <w:autoSpaceDN/>
        <w:bidi w:val="0"/>
        <w:spacing w:line="240" w:lineRule="auto"/>
        <w:ind w:firstLine="643" w:firstLineChars="200"/>
        <w:textAlignment w:val="auto"/>
        <w:rPr>
          <w:rFonts w:hint="default" w:ascii="Times New Roman" w:hAnsi="Times New Roman" w:eastAsia="方正仿宋_GBK" w:cs="Times New Roman"/>
          <w:b/>
          <w:bCs/>
          <w:sz w:val="32"/>
          <w:szCs w:val="32"/>
          <w:lang w:val="zh-CN" w:eastAsia="zh-CN" w:bidi="ar-SA"/>
        </w:rPr>
      </w:pPr>
      <w:r>
        <w:rPr>
          <w:rFonts w:hint="default" w:ascii="Times New Roman" w:hAnsi="Times New Roman" w:eastAsia="方正仿宋_GBK" w:cs="Times New Roman"/>
          <w:b/>
          <w:bCs/>
          <w:sz w:val="32"/>
          <w:szCs w:val="32"/>
          <w:lang w:val="zh-CN" w:eastAsia="zh-CN" w:bidi="ar-SA"/>
        </w:rPr>
        <w:t>（三）绩效结果应用情况。</w:t>
      </w:r>
    </w:p>
    <w:p w14:paraId="35E66E75">
      <w:pPr>
        <w:keepNext w:val="0"/>
        <w:keepLines w:val="0"/>
        <w:pageBreakBefore w:val="0"/>
        <w:widowControl w:val="0"/>
        <w:kinsoku/>
        <w:wordWrap/>
        <w:overflowPunct/>
        <w:topLinePunct w:val="0"/>
        <w:autoSpaceDE/>
        <w:autoSpaceDN/>
        <w:bidi w:val="0"/>
        <w:spacing w:line="240" w:lineRule="auto"/>
        <w:ind w:firstLine="643" w:firstLineChars="200"/>
        <w:textAlignment w:val="auto"/>
        <w:rPr>
          <w:rFonts w:hint="default" w:ascii="Times New Roman" w:hAnsi="Times New Roman" w:eastAsia="方正仿宋_GBK" w:cs="Times New Roman"/>
          <w:sz w:val="32"/>
          <w:szCs w:val="32"/>
          <w:lang w:val="zh-CN" w:eastAsia="zh-CN" w:bidi="ar-SA"/>
        </w:rPr>
      </w:pPr>
      <w:r>
        <w:rPr>
          <w:rFonts w:hint="default" w:ascii="Times New Roman" w:hAnsi="Times New Roman" w:eastAsia="方正仿宋_GBK" w:cs="Times New Roman"/>
          <w:b/>
          <w:bCs/>
          <w:sz w:val="32"/>
          <w:szCs w:val="32"/>
          <w:lang w:val="zh-CN" w:eastAsia="zh-CN" w:bidi="ar-SA"/>
        </w:rPr>
        <w:t>1.内部应用。</w:t>
      </w:r>
      <w:r>
        <w:rPr>
          <w:rFonts w:hint="default" w:ascii="Times New Roman" w:hAnsi="Times New Roman" w:eastAsia="方正仿宋_GBK" w:cs="Times New Roman"/>
          <w:sz w:val="32"/>
          <w:szCs w:val="32"/>
          <w:lang w:val="zh-CN" w:eastAsia="zh-CN" w:bidi="ar-SA"/>
        </w:rPr>
        <w:t>在预算事前绩效评估、绩效监控和自评结果应用的基础上，将项目绩效目标结果与预算安排相结合，积极督促各室（部）履行绩效管理主体责任，提高绩效目标编报质量。</w:t>
      </w:r>
    </w:p>
    <w:p w14:paraId="65A9DC75">
      <w:pPr>
        <w:keepNext w:val="0"/>
        <w:keepLines w:val="0"/>
        <w:pageBreakBefore w:val="0"/>
        <w:widowControl w:val="0"/>
        <w:kinsoku/>
        <w:wordWrap/>
        <w:overflowPunct/>
        <w:topLinePunct w:val="0"/>
        <w:autoSpaceDE/>
        <w:autoSpaceDN/>
        <w:bidi w:val="0"/>
        <w:spacing w:line="240" w:lineRule="auto"/>
        <w:ind w:firstLine="643" w:firstLineChars="200"/>
        <w:textAlignment w:val="auto"/>
        <w:rPr>
          <w:rFonts w:hint="default" w:ascii="Times New Roman" w:hAnsi="Times New Roman" w:eastAsia="方正仿宋_GBK" w:cs="Times New Roman"/>
          <w:sz w:val="32"/>
          <w:szCs w:val="32"/>
          <w:lang w:val="zh-CN" w:eastAsia="zh-CN" w:bidi="ar-SA"/>
        </w:rPr>
      </w:pPr>
      <w:r>
        <w:rPr>
          <w:rFonts w:hint="default" w:ascii="Times New Roman" w:hAnsi="Times New Roman" w:eastAsia="方正仿宋_GBK" w:cs="Times New Roman"/>
          <w:b/>
          <w:bCs/>
          <w:sz w:val="32"/>
          <w:szCs w:val="32"/>
          <w:lang w:val="zh-CN" w:eastAsia="zh-CN" w:bidi="ar-SA"/>
        </w:rPr>
        <w:t>2.信息公开。</w:t>
      </w:r>
      <w:r>
        <w:rPr>
          <w:rFonts w:hint="default" w:ascii="Times New Roman" w:hAnsi="Times New Roman" w:eastAsia="方正仿宋_GBK" w:cs="Times New Roman"/>
          <w:sz w:val="32"/>
          <w:szCs w:val="32"/>
          <w:lang w:val="zh-CN" w:eastAsia="zh-CN" w:bidi="ar-SA"/>
        </w:rPr>
        <w:t>按照相关要求，本部门在规定时限内在门户网站上公开了部门预决算信息、“三公经费”信息等情况，主动接受社会监督。</w:t>
      </w:r>
    </w:p>
    <w:p w14:paraId="114AF3FA">
      <w:pPr>
        <w:keepNext w:val="0"/>
        <w:keepLines w:val="0"/>
        <w:pageBreakBefore w:val="0"/>
        <w:widowControl w:val="0"/>
        <w:kinsoku/>
        <w:wordWrap/>
        <w:overflowPunct/>
        <w:topLinePunct w:val="0"/>
        <w:autoSpaceDE/>
        <w:autoSpaceDN/>
        <w:bidi w:val="0"/>
        <w:spacing w:line="240" w:lineRule="auto"/>
        <w:ind w:firstLine="643"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b/>
          <w:bCs/>
          <w:sz w:val="32"/>
          <w:szCs w:val="32"/>
          <w:lang w:val="zh-CN" w:eastAsia="zh-CN" w:bidi="ar-SA"/>
        </w:rPr>
        <w:t>3.整改反馈情况。</w:t>
      </w:r>
      <w:r>
        <w:rPr>
          <w:rFonts w:hint="default" w:ascii="Times New Roman" w:hAnsi="Times New Roman" w:eastAsia="方正仿宋_GBK" w:cs="Times New Roman"/>
          <w:sz w:val="32"/>
          <w:szCs w:val="32"/>
          <w:lang w:val="zh-CN" w:eastAsia="zh-CN" w:bidi="ar-SA"/>
        </w:rPr>
        <w:t>通过</w:t>
      </w:r>
      <w:r>
        <w:rPr>
          <w:rFonts w:hint="default" w:ascii="Times New Roman" w:hAnsi="Times New Roman" w:eastAsia="方正仿宋_GBK" w:cs="Times New Roman"/>
          <w:b/>
          <w:bCs/>
          <w:sz w:val="32"/>
          <w:szCs w:val="32"/>
          <w:lang w:val="zh-CN" w:eastAsia="zh-CN" w:bidi="ar-SA"/>
        </w:rPr>
        <w:t>202</w:t>
      </w:r>
      <w:r>
        <w:rPr>
          <w:rFonts w:hint="default" w:ascii="Times New Roman" w:hAnsi="Times New Roman" w:eastAsia="方正仿宋_GBK" w:cs="Times New Roman"/>
          <w:b/>
          <w:bCs/>
          <w:sz w:val="32"/>
          <w:szCs w:val="32"/>
          <w:lang w:val="en-US" w:eastAsia="zh-CN" w:bidi="ar-SA"/>
        </w:rPr>
        <w:t>4</w:t>
      </w:r>
      <w:r>
        <w:rPr>
          <w:rFonts w:hint="default" w:ascii="Times New Roman" w:hAnsi="Times New Roman" w:eastAsia="方正仿宋_GBK" w:cs="Times New Roman"/>
          <w:sz w:val="32"/>
          <w:szCs w:val="32"/>
          <w:lang w:val="zh-CN" w:eastAsia="zh-CN" w:bidi="ar-SA"/>
        </w:rPr>
        <w:t>年度绩效自评工作，全面掌握部门整体支出情况存在的问题，我们将不断加强内部管理，</w:t>
      </w:r>
      <w:r>
        <w:rPr>
          <w:rFonts w:hint="default" w:ascii="Times New Roman" w:hAnsi="Times New Roman" w:eastAsia="方正仿宋_GBK" w:cs="Times New Roman"/>
          <w:sz w:val="32"/>
          <w:szCs w:val="32"/>
          <w:lang w:bidi="ar-SA"/>
        </w:rPr>
        <w:t>严格按照部门预算进行部门整体支出，涉及“三重一大”事项全部经过市纪委常委会、书记办公会审议，依据相应的资金管理办法切实做到了项目资金专项专用，无截留、无挪用等违规现象，</w:t>
      </w:r>
      <w:r>
        <w:rPr>
          <w:rFonts w:hint="default" w:ascii="Times New Roman" w:hAnsi="Times New Roman" w:eastAsia="方正仿宋_GBK" w:cs="Times New Roman"/>
          <w:sz w:val="32"/>
          <w:szCs w:val="32"/>
          <w:lang w:val="zh-CN" w:eastAsia="zh-CN" w:bidi="ar-SA"/>
        </w:rPr>
        <w:t>切实提高财政资金使用效益。</w:t>
      </w:r>
    </w:p>
    <w:p w14:paraId="717BE1DF">
      <w:pPr>
        <w:keepNext w:val="0"/>
        <w:keepLines w:val="0"/>
        <w:pageBreakBefore w:val="0"/>
        <w:widowControl/>
        <w:kinsoku/>
        <w:wordWrap/>
        <w:overflowPunct/>
        <w:topLinePunct w:val="0"/>
        <w:autoSpaceDE/>
        <w:autoSpaceDN/>
        <w:bidi w:val="0"/>
        <w:adjustRightInd w:val="0"/>
        <w:snapToGrid w:val="0"/>
        <w:spacing w:line="240" w:lineRule="auto"/>
        <w:ind w:firstLine="640" w:firstLineChars="200"/>
        <w:contextualSpacing/>
        <w:jc w:val="left"/>
        <w:textAlignment w:val="auto"/>
        <w:rPr>
          <w:rFonts w:hint="default" w:ascii="Times New Roman" w:hAnsi="Times New Roman" w:eastAsia="方正黑体_GBK" w:cs="Times New Roman"/>
          <w:color w:val="000000"/>
          <w:kern w:val="0"/>
          <w:sz w:val="32"/>
          <w:szCs w:val="32"/>
          <w:shd w:val="clear" w:color="auto" w:fill="FFFFFF"/>
          <w:lang w:val="zh-CN" w:eastAsia="zh-CN" w:bidi="ar-SA"/>
        </w:rPr>
      </w:pPr>
      <w:r>
        <w:rPr>
          <w:rFonts w:hint="default" w:ascii="Times New Roman" w:hAnsi="Times New Roman" w:eastAsia="方正黑体_GBK" w:cs="Times New Roman"/>
          <w:color w:val="000000"/>
          <w:kern w:val="0"/>
          <w:sz w:val="32"/>
          <w:szCs w:val="32"/>
          <w:shd w:val="clear" w:color="auto" w:fill="FFFFFF"/>
          <w:lang w:val="zh-CN" w:eastAsia="zh-CN" w:bidi="ar-SA"/>
        </w:rPr>
        <w:t>四、评价结论及建议</w:t>
      </w:r>
    </w:p>
    <w:p w14:paraId="06FBFDDC">
      <w:pPr>
        <w:keepNext w:val="0"/>
        <w:keepLines w:val="0"/>
        <w:pageBreakBefore w:val="0"/>
        <w:widowControl w:val="0"/>
        <w:kinsoku/>
        <w:wordWrap/>
        <w:overflowPunct/>
        <w:topLinePunct w:val="0"/>
        <w:autoSpaceDE/>
        <w:autoSpaceDN/>
        <w:bidi w:val="0"/>
        <w:spacing w:line="240" w:lineRule="auto"/>
        <w:ind w:firstLine="643" w:firstLineChars="200"/>
        <w:textAlignment w:val="auto"/>
        <w:rPr>
          <w:rFonts w:hint="eastAsia" w:ascii="方正楷体_GBK" w:hAnsi="方正楷体_GBK" w:eastAsia="方正楷体_GBK" w:cs="方正楷体_GBK"/>
          <w:b/>
          <w:bCs/>
          <w:sz w:val="32"/>
          <w:szCs w:val="32"/>
          <w:lang w:val="zh-CN" w:eastAsia="zh-CN" w:bidi="ar-SA"/>
        </w:rPr>
      </w:pPr>
      <w:r>
        <w:rPr>
          <w:rFonts w:hint="eastAsia" w:ascii="方正楷体_GBK" w:hAnsi="方正楷体_GBK" w:eastAsia="方正楷体_GBK" w:cs="方正楷体_GBK"/>
          <w:b/>
          <w:bCs/>
          <w:sz w:val="32"/>
          <w:szCs w:val="32"/>
          <w:lang w:val="zh-CN" w:eastAsia="zh-CN" w:bidi="ar-SA"/>
        </w:rPr>
        <w:t>（一）评价结论</w:t>
      </w:r>
    </w:p>
    <w:p w14:paraId="3F74F839">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lang w:val="zh-CN" w:eastAsia="zh-CN" w:bidi="ar-SA"/>
        </w:rPr>
      </w:pPr>
      <w:r>
        <w:rPr>
          <w:rFonts w:hint="default" w:ascii="Times New Roman" w:hAnsi="Times New Roman" w:eastAsia="方正仿宋_GBK" w:cs="Times New Roman"/>
          <w:sz w:val="32"/>
          <w:szCs w:val="32"/>
          <w:lang w:val="en-US" w:eastAsia="zh-CN" w:bidi="ar-SA"/>
        </w:rPr>
        <w:t>我部门整体（含部门预算项目）绩效自评得分为</w:t>
      </w:r>
      <w:r>
        <w:rPr>
          <w:rFonts w:hint="default" w:ascii="Times New Roman" w:hAnsi="Times New Roman" w:eastAsia="方正仿宋_GBK" w:cs="Times New Roman"/>
          <w:b/>
          <w:bCs/>
          <w:sz w:val="32"/>
          <w:szCs w:val="32"/>
          <w:lang w:val="en-US" w:eastAsia="zh-CN" w:bidi="ar-SA"/>
        </w:rPr>
        <w:t>94</w:t>
      </w:r>
      <w:r>
        <w:rPr>
          <w:rFonts w:hint="eastAsia" w:ascii="Times New Roman" w:hAnsi="Times New Roman" w:eastAsia="方正仿宋_GBK" w:cs="Times New Roman"/>
          <w:b/>
          <w:bCs/>
          <w:sz w:val="32"/>
          <w:szCs w:val="32"/>
          <w:lang w:val="en-US" w:eastAsia="zh-CN" w:bidi="ar-SA"/>
        </w:rPr>
        <w:t>.16</w:t>
      </w:r>
      <w:r>
        <w:rPr>
          <w:rFonts w:hint="default" w:ascii="Times New Roman" w:hAnsi="Times New Roman" w:eastAsia="方正仿宋_GBK" w:cs="Times New Roman"/>
          <w:sz w:val="32"/>
          <w:szCs w:val="32"/>
          <w:lang w:val="en-US" w:eastAsia="zh-CN" w:bidi="ar-SA"/>
        </w:rPr>
        <w:t>分，主要围绕共同富裕试验区建设发挥监督保障执行、促进完善发展作用，</w:t>
      </w:r>
      <w:r>
        <w:rPr>
          <w:rFonts w:hint="eastAsia" w:eastAsia="方正仿宋_GBK" w:cs="Times New Roman"/>
          <w:sz w:val="32"/>
          <w:szCs w:val="32"/>
          <w:lang w:val="en-US" w:eastAsia="zh-CN" w:bidi="ar-SA"/>
        </w:rPr>
        <w:t>着力整治群众身边不正之风和腐败问题</w:t>
      </w:r>
      <w:r>
        <w:rPr>
          <w:rFonts w:hint="default" w:ascii="Times New Roman" w:hAnsi="Times New Roman" w:eastAsia="方正仿宋_GBK" w:cs="Times New Roman"/>
          <w:sz w:val="32"/>
          <w:szCs w:val="32"/>
          <w:lang w:val="en-US" w:eastAsia="zh-CN" w:bidi="ar-SA"/>
        </w:rPr>
        <w:t>，驰而不息正风肃纪、惩贪治腐的绩效目标，强化政治监督，以围绕市委“大抓落实年”工作要求、“有事找纪检”为抓手，切实解决群众急难愁盼问题，不断提升监督执纪实战能力。以案件引领打好反腐败斗争主动仗，保持“一严到底”的战略定力，永远吹冲锋号。</w:t>
      </w:r>
    </w:p>
    <w:p w14:paraId="08D8E8C4">
      <w:pPr>
        <w:keepNext w:val="0"/>
        <w:keepLines w:val="0"/>
        <w:pageBreakBefore w:val="0"/>
        <w:widowControl w:val="0"/>
        <w:numPr>
          <w:ilvl w:val="0"/>
          <w:numId w:val="2"/>
        </w:numPr>
        <w:kinsoku/>
        <w:wordWrap/>
        <w:overflowPunct/>
        <w:topLinePunct w:val="0"/>
        <w:autoSpaceDE/>
        <w:autoSpaceDN/>
        <w:bidi w:val="0"/>
        <w:spacing w:line="240" w:lineRule="auto"/>
        <w:ind w:firstLine="643" w:firstLineChars="200"/>
        <w:textAlignment w:val="auto"/>
        <w:rPr>
          <w:rFonts w:hint="default" w:ascii="方正楷体_GBK" w:hAnsi="方正楷体_GBK" w:eastAsia="方正楷体_GBK" w:cs="方正楷体_GBK"/>
          <w:b/>
          <w:bCs/>
          <w:sz w:val="32"/>
          <w:szCs w:val="32"/>
          <w:lang w:val="zh-CN" w:eastAsia="zh-CN" w:bidi="ar-SA"/>
        </w:rPr>
      </w:pPr>
      <w:r>
        <w:rPr>
          <w:rFonts w:hint="default" w:ascii="方正楷体_GBK" w:hAnsi="方正楷体_GBK" w:eastAsia="方正楷体_GBK" w:cs="方正楷体_GBK"/>
          <w:b/>
          <w:bCs/>
          <w:sz w:val="32"/>
          <w:szCs w:val="32"/>
          <w:lang w:val="zh-CN" w:eastAsia="zh-CN" w:bidi="ar-SA"/>
        </w:rPr>
        <w:t>存在问题</w:t>
      </w:r>
    </w:p>
    <w:p w14:paraId="7D1855EC">
      <w:pPr>
        <w:keepNext w:val="0"/>
        <w:keepLines w:val="0"/>
        <w:pageBreakBefore w:val="0"/>
        <w:widowControl w:val="0"/>
        <w:numPr>
          <w:ilvl w:val="0"/>
          <w:numId w:val="0"/>
        </w:numPr>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在进行</w:t>
      </w:r>
      <w:r>
        <w:rPr>
          <w:rFonts w:hint="default" w:ascii="Times New Roman" w:hAnsi="Times New Roman" w:eastAsia="方正仿宋_GBK" w:cs="Times New Roman"/>
          <w:sz w:val="32"/>
          <w:szCs w:val="32"/>
          <w:lang w:val="zh-CN" w:eastAsia="zh-CN" w:bidi="ar-SA"/>
        </w:rPr>
        <w:t>部门预算绩效自评</w:t>
      </w:r>
      <w:r>
        <w:rPr>
          <w:rFonts w:hint="default" w:ascii="Times New Roman" w:hAnsi="Times New Roman" w:eastAsia="方正仿宋_GBK" w:cs="Times New Roman"/>
          <w:sz w:val="32"/>
          <w:szCs w:val="32"/>
          <w:lang w:val="en-US" w:eastAsia="zh-CN" w:bidi="ar-SA"/>
        </w:rPr>
        <w:t>时</w:t>
      </w:r>
      <w:r>
        <w:rPr>
          <w:rFonts w:hint="eastAsia" w:ascii="Times New Roman" w:hAnsi="Times New Roman" w:eastAsia="方正仿宋_GBK" w:cs="Times New Roman"/>
          <w:sz w:val="32"/>
          <w:szCs w:val="32"/>
          <w:lang w:val="en-US" w:eastAsia="zh-CN" w:bidi="ar-SA"/>
        </w:rPr>
        <w:t>，存在</w:t>
      </w:r>
      <w:r>
        <w:rPr>
          <w:rFonts w:hint="default" w:ascii="Times New Roman" w:hAnsi="Times New Roman" w:eastAsia="方正仿宋_GBK" w:cs="Times New Roman"/>
          <w:sz w:val="32"/>
          <w:szCs w:val="32"/>
          <w:lang w:val="zh-CN" w:eastAsia="zh-CN" w:bidi="ar-SA"/>
        </w:rPr>
        <w:t>绩效目标细化量化不够、</w:t>
      </w:r>
      <w:r>
        <w:rPr>
          <w:rFonts w:hint="default" w:ascii="Times New Roman" w:hAnsi="Times New Roman" w:eastAsia="方正仿宋_GBK" w:cs="Times New Roman"/>
          <w:sz w:val="32"/>
          <w:szCs w:val="32"/>
          <w:lang w:val="en-US" w:eastAsia="zh-CN" w:bidi="ar-SA"/>
        </w:rPr>
        <w:t>结果应用不足、绩效经办人员能力不足的问题。</w:t>
      </w:r>
    </w:p>
    <w:p w14:paraId="184F0CBA">
      <w:pPr>
        <w:keepNext w:val="0"/>
        <w:keepLines w:val="0"/>
        <w:pageBreakBefore w:val="0"/>
        <w:widowControl w:val="0"/>
        <w:kinsoku/>
        <w:wordWrap/>
        <w:overflowPunct/>
        <w:topLinePunct w:val="0"/>
        <w:autoSpaceDE/>
        <w:autoSpaceDN/>
        <w:bidi w:val="0"/>
        <w:spacing w:line="240" w:lineRule="auto"/>
        <w:ind w:firstLine="643" w:firstLineChars="200"/>
        <w:textAlignment w:val="auto"/>
        <w:rPr>
          <w:rFonts w:hint="default" w:ascii="方正楷体_GBK" w:hAnsi="方正楷体_GBK" w:eastAsia="方正楷体_GBK" w:cs="方正楷体_GBK"/>
          <w:b/>
          <w:bCs/>
          <w:sz w:val="32"/>
          <w:szCs w:val="32"/>
          <w:lang w:val="zh-CN" w:eastAsia="zh-CN" w:bidi="ar-SA"/>
        </w:rPr>
      </w:pPr>
      <w:r>
        <w:rPr>
          <w:rFonts w:hint="default" w:ascii="方正楷体_GBK" w:hAnsi="方正楷体_GBK" w:eastAsia="方正楷体_GBK" w:cs="方正楷体_GBK"/>
          <w:b/>
          <w:bCs/>
          <w:sz w:val="32"/>
          <w:szCs w:val="32"/>
          <w:lang w:val="zh-CN" w:eastAsia="zh-CN" w:bidi="ar-SA"/>
        </w:rPr>
        <w:t>（三）改进建议</w:t>
      </w:r>
    </w:p>
    <w:p w14:paraId="66A1D401">
      <w:pPr>
        <w:pStyle w:val="16"/>
        <w:keepNext w:val="0"/>
        <w:keepLines w:val="0"/>
        <w:pageBreakBefore w:val="0"/>
        <w:widowControl w:val="0"/>
        <w:kinsoku/>
        <w:wordWrap/>
        <w:overflowPunct/>
        <w:topLinePunct w:val="0"/>
        <w:autoSpaceDE/>
        <w:autoSpaceDN/>
        <w:bidi w:val="0"/>
        <w:spacing w:line="240" w:lineRule="auto"/>
        <w:ind w:left="0" w:leftChars="0" w:firstLine="643"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b/>
          <w:bCs/>
          <w:sz w:val="32"/>
          <w:szCs w:val="32"/>
          <w:lang w:val="en-US" w:eastAsia="zh-CN" w:bidi="ar-SA"/>
        </w:rPr>
        <w:t>1.优化指标体系设计。</w:t>
      </w:r>
      <w:r>
        <w:rPr>
          <w:rFonts w:hint="default" w:ascii="Times New Roman" w:hAnsi="Times New Roman" w:eastAsia="方正仿宋_GBK" w:cs="Times New Roman"/>
          <w:sz w:val="32"/>
          <w:szCs w:val="32"/>
          <w:lang w:val="en-US" w:eastAsia="zh-CN" w:bidi="ar-SA"/>
        </w:rPr>
        <w:t>根据项目类型差异化设置指标，避免“一刀切”，采用“产出+效果+成本”多维指标，将指标具体化、数字化。</w:t>
      </w:r>
    </w:p>
    <w:p w14:paraId="178C94C8">
      <w:pPr>
        <w:pStyle w:val="16"/>
        <w:keepNext w:val="0"/>
        <w:keepLines w:val="0"/>
        <w:pageBreakBefore w:val="0"/>
        <w:widowControl w:val="0"/>
        <w:kinsoku/>
        <w:wordWrap/>
        <w:overflowPunct/>
        <w:topLinePunct w:val="0"/>
        <w:autoSpaceDE/>
        <w:autoSpaceDN/>
        <w:bidi w:val="0"/>
        <w:spacing w:line="240" w:lineRule="auto"/>
        <w:ind w:left="0" w:leftChars="0" w:firstLine="643"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b/>
          <w:bCs/>
          <w:sz w:val="32"/>
          <w:szCs w:val="32"/>
          <w:lang w:val="en-US" w:eastAsia="zh-CN" w:bidi="ar-SA"/>
        </w:rPr>
        <w:t>2.完善结果应用机制。</w:t>
      </w:r>
      <w:r>
        <w:rPr>
          <w:rFonts w:hint="default" w:ascii="Times New Roman" w:hAnsi="Times New Roman" w:eastAsia="方正仿宋_GBK" w:cs="Times New Roman"/>
          <w:sz w:val="32"/>
          <w:szCs w:val="32"/>
          <w:lang w:val="en-US" w:eastAsia="zh-CN" w:bidi="ar-SA"/>
        </w:rPr>
        <w:t>根据实际工作情况，对连续项目进行高效评估，确保必须保障的项目，同时将可公开项目在官网上进行公示，接受社会监督。</w:t>
      </w:r>
    </w:p>
    <w:p w14:paraId="76703CBD">
      <w:pPr>
        <w:pStyle w:val="16"/>
        <w:keepNext w:val="0"/>
        <w:keepLines w:val="0"/>
        <w:pageBreakBefore w:val="0"/>
        <w:widowControl w:val="0"/>
        <w:kinsoku/>
        <w:wordWrap/>
        <w:overflowPunct/>
        <w:topLinePunct w:val="0"/>
        <w:autoSpaceDE/>
        <w:autoSpaceDN/>
        <w:bidi w:val="0"/>
        <w:spacing w:line="240" w:lineRule="auto"/>
        <w:ind w:left="0" w:leftChars="0" w:firstLine="643"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b/>
          <w:bCs/>
          <w:sz w:val="32"/>
          <w:szCs w:val="32"/>
          <w:lang w:val="en-US" w:eastAsia="zh-CN" w:bidi="ar-SA"/>
        </w:rPr>
        <w:t>3.提升绩效管理能力。</w:t>
      </w:r>
      <w:r>
        <w:rPr>
          <w:rFonts w:hint="default" w:ascii="Times New Roman" w:hAnsi="Times New Roman" w:eastAsia="方正仿宋_GBK" w:cs="Times New Roman"/>
          <w:sz w:val="32"/>
          <w:szCs w:val="32"/>
          <w:lang w:val="en-US" w:eastAsia="zh-CN" w:bidi="ar-SA"/>
        </w:rPr>
        <w:t>对标绩效目标指标</w:t>
      </w:r>
      <w:r>
        <w:rPr>
          <w:rFonts w:hint="eastAsia" w:ascii="Times New Roman" w:eastAsia="方正仿宋_GBK" w:cs="Times New Roman"/>
          <w:sz w:val="32"/>
          <w:szCs w:val="32"/>
          <w:lang w:val="en-US" w:eastAsia="zh-CN" w:bidi="ar-SA"/>
        </w:rPr>
        <w:t>标准</w:t>
      </w:r>
      <w:r>
        <w:rPr>
          <w:rFonts w:hint="default" w:ascii="Times New Roman" w:hAnsi="Times New Roman" w:eastAsia="方正仿宋_GBK" w:cs="Times New Roman"/>
          <w:sz w:val="32"/>
          <w:szCs w:val="32"/>
          <w:lang w:val="en-US" w:eastAsia="zh-CN" w:bidi="ar-SA"/>
        </w:rPr>
        <w:t>开展绩效自评，积极参与绩效目标编制、数据采集方法等实操培训</w:t>
      </w:r>
      <w:r>
        <w:rPr>
          <w:rFonts w:hint="eastAsia" w:ascii="Times New Roman" w:hAnsi="Times New Roman" w:eastAsia="方正仿宋_GBK" w:cs="Times New Roman"/>
          <w:sz w:val="32"/>
          <w:szCs w:val="32"/>
          <w:lang w:val="en-US" w:eastAsia="zh-CN" w:bidi="ar-SA"/>
        </w:rPr>
        <w:t>，提升绩效业务能力和专业水平</w:t>
      </w:r>
      <w:r>
        <w:rPr>
          <w:rFonts w:hint="default" w:ascii="Times New Roman" w:hAnsi="Times New Roman" w:eastAsia="方正仿宋_GBK" w:cs="Times New Roman"/>
          <w:sz w:val="32"/>
          <w:szCs w:val="32"/>
          <w:lang w:val="en-US" w:eastAsia="zh-CN" w:bidi="ar-SA"/>
        </w:rPr>
        <w:t>；同时进行跨部门协作，将“财务+业务”相结合，确保评价贴合实际。</w:t>
      </w:r>
    </w:p>
    <w:p w14:paraId="57716DFB">
      <w:pPr>
        <w:rPr>
          <w:rFonts w:hint="eastAsia" w:ascii="Times New Roman" w:hAnsi="Times New Roman" w:eastAsia="仿宋_GB2312" w:cs="仿宋_GB2312"/>
          <w:b w:val="0"/>
          <w:bCs w:val="0"/>
          <w:kern w:val="0"/>
          <w:position w:val="0"/>
          <w:sz w:val="32"/>
          <w:szCs w:val="32"/>
          <w:highlight w:val="none"/>
          <w:lang w:val="en-US" w:eastAsia="zh-CN" w:bidi="ar-SA"/>
        </w:rPr>
      </w:pPr>
      <w:bookmarkStart w:id="80"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14:paraId="37572585">
      <w:pPr>
        <w:widowControl/>
        <w:jc w:val="center"/>
        <w:outlineLvl w:val="0"/>
        <w:rPr>
          <w:rFonts w:hint="eastAsia" w:ascii="Times New Roman" w:hAnsi="Times New Roman" w:eastAsia="仿宋"/>
          <w:b w:val="0"/>
          <w:color w:val="auto"/>
          <w:highlight w:val="none"/>
        </w:rPr>
      </w:pPr>
      <w:bookmarkStart w:id="81" w:name="_Toc4862"/>
      <w:r>
        <w:rPr>
          <w:rFonts w:hint="eastAsia" w:ascii="Times New Roman" w:hAnsi="Times New Roman" w:eastAsia="黑体"/>
          <w:color w:val="auto"/>
          <w:sz w:val="44"/>
          <w:szCs w:val="44"/>
          <w:highlight w:val="none"/>
        </w:rPr>
        <w:t>第</w:t>
      </w:r>
      <w:r>
        <w:rPr>
          <w:rStyle w:val="30"/>
          <w:rFonts w:hint="eastAsia" w:ascii="Times New Roman" w:hAnsi="Times New Roman" w:eastAsia="黑体"/>
          <w:b w:val="0"/>
          <w:color w:val="auto"/>
          <w:highlight w:val="none"/>
        </w:rPr>
        <w:t xml:space="preserve">五部分 </w:t>
      </w:r>
      <w:r>
        <w:rPr>
          <w:rStyle w:val="30"/>
          <w:rFonts w:hint="eastAsia" w:eastAsia="黑体"/>
          <w:b w:val="0"/>
          <w:color w:val="auto"/>
          <w:highlight w:val="none"/>
          <w:lang w:val="en-US" w:eastAsia="zh-CN"/>
        </w:rPr>
        <w:t xml:space="preserve"> </w:t>
      </w:r>
      <w:r>
        <w:rPr>
          <w:rStyle w:val="30"/>
          <w:rFonts w:hint="eastAsia" w:ascii="Times New Roman" w:hAnsi="Times New Roman" w:eastAsia="黑体"/>
          <w:b w:val="0"/>
          <w:color w:val="auto"/>
          <w:highlight w:val="none"/>
        </w:rPr>
        <w:t>附表</w:t>
      </w:r>
      <w:bookmarkEnd w:id="77"/>
      <w:bookmarkEnd w:id="80"/>
      <w:bookmarkEnd w:id="81"/>
      <w:bookmarkStart w:id="82" w:name="_Toc15396619"/>
    </w:p>
    <w:p w14:paraId="1FC26F8B">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2D95D1D6">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83" w:name="_Toc11331"/>
      <w:r>
        <w:rPr>
          <w:rFonts w:hint="eastAsia" w:ascii="Times New Roman" w:hAnsi="Times New Roman" w:eastAsia="仿宋_GB2312" w:cs="仿宋_GB2312"/>
          <w:color w:val="auto"/>
          <w:sz w:val="32"/>
          <w:szCs w:val="32"/>
          <w:highlight w:val="none"/>
        </w:rPr>
        <w:t>一、收入支出决算总表</w:t>
      </w:r>
      <w:bookmarkEnd w:id="82"/>
      <w:bookmarkEnd w:id="83"/>
    </w:p>
    <w:p w14:paraId="3208D74D">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84" w:name="_Toc15396620"/>
      <w:bookmarkStart w:id="85" w:name="_Toc4360"/>
      <w:r>
        <w:rPr>
          <w:rFonts w:hint="eastAsia" w:ascii="Times New Roman" w:hAnsi="Times New Roman" w:eastAsia="仿宋_GB2312" w:cs="仿宋_GB2312"/>
          <w:color w:val="auto"/>
          <w:sz w:val="32"/>
          <w:szCs w:val="32"/>
          <w:highlight w:val="none"/>
        </w:rPr>
        <w:t>二、收入决算表</w:t>
      </w:r>
      <w:bookmarkEnd w:id="84"/>
      <w:bookmarkEnd w:id="85"/>
    </w:p>
    <w:p w14:paraId="057A4C32">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86" w:name="_Toc15396621"/>
      <w:bookmarkStart w:id="87" w:name="_Toc8486"/>
      <w:r>
        <w:rPr>
          <w:rFonts w:hint="eastAsia" w:ascii="Times New Roman" w:hAnsi="Times New Roman" w:eastAsia="仿宋_GB2312" w:cs="仿宋_GB2312"/>
          <w:color w:val="auto"/>
          <w:sz w:val="32"/>
          <w:szCs w:val="32"/>
          <w:highlight w:val="none"/>
        </w:rPr>
        <w:t>三、支出决算表</w:t>
      </w:r>
      <w:bookmarkEnd w:id="86"/>
      <w:bookmarkEnd w:id="87"/>
    </w:p>
    <w:p w14:paraId="79B120FF">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88" w:name="_Toc15396622"/>
      <w:bookmarkStart w:id="89" w:name="_Toc1270"/>
      <w:r>
        <w:rPr>
          <w:rFonts w:hint="eastAsia" w:ascii="Times New Roman" w:hAnsi="Times New Roman" w:eastAsia="仿宋_GB2312" w:cs="仿宋_GB2312"/>
          <w:color w:val="auto"/>
          <w:sz w:val="32"/>
          <w:szCs w:val="32"/>
          <w:highlight w:val="none"/>
        </w:rPr>
        <w:t>四、财政拨款收入支出决算总表</w:t>
      </w:r>
      <w:bookmarkEnd w:id="88"/>
      <w:bookmarkEnd w:id="89"/>
    </w:p>
    <w:p w14:paraId="28A9F4DD">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90" w:name="_Toc15396623"/>
      <w:bookmarkStart w:id="91" w:name="_Toc28349"/>
      <w:r>
        <w:rPr>
          <w:rFonts w:hint="eastAsia" w:ascii="Times New Roman" w:hAnsi="Times New Roman" w:eastAsia="仿宋_GB2312" w:cs="仿宋_GB2312"/>
          <w:color w:val="auto"/>
          <w:sz w:val="32"/>
          <w:szCs w:val="32"/>
          <w:highlight w:val="none"/>
        </w:rPr>
        <w:t>五、财政拨款支出决算明细表</w:t>
      </w:r>
      <w:bookmarkEnd w:id="90"/>
      <w:bookmarkEnd w:id="91"/>
      <w:bookmarkStart w:id="92" w:name="_Toc15396624"/>
    </w:p>
    <w:p w14:paraId="0E652371">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93" w:name="_Toc15541"/>
      <w:r>
        <w:rPr>
          <w:rFonts w:hint="eastAsia" w:ascii="Times New Roman" w:hAnsi="Times New Roman" w:eastAsia="仿宋_GB2312" w:cs="仿宋_GB2312"/>
          <w:color w:val="auto"/>
          <w:sz w:val="32"/>
          <w:szCs w:val="32"/>
          <w:highlight w:val="none"/>
        </w:rPr>
        <w:t>六、一般公共预算财政拨款支出决算表</w:t>
      </w:r>
      <w:bookmarkEnd w:id="92"/>
      <w:bookmarkEnd w:id="93"/>
    </w:p>
    <w:p w14:paraId="67741299">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94" w:name="_Toc4116"/>
      <w:bookmarkStart w:id="95" w:name="_Toc15396625"/>
      <w:r>
        <w:rPr>
          <w:rFonts w:hint="eastAsia" w:ascii="Times New Roman" w:hAnsi="Times New Roman" w:eastAsia="仿宋_GB2312" w:cs="仿宋_GB2312"/>
          <w:color w:val="auto"/>
          <w:sz w:val="32"/>
          <w:szCs w:val="32"/>
          <w:highlight w:val="none"/>
        </w:rPr>
        <w:t>七、一般公共预算财政拨款支出决算明细表</w:t>
      </w:r>
      <w:bookmarkEnd w:id="94"/>
      <w:bookmarkEnd w:id="95"/>
    </w:p>
    <w:p w14:paraId="50DA319D">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96" w:name="_Toc15396626"/>
      <w:bookmarkStart w:id="97" w:name="_Toc148"/>
      <w:r>
        <w:rPr>
          <w:rFonts w:hint="eastAsia" w:ascii="Times New Roman" w:hAnsi="Times New Roman" w:eastAsia="仿宋_GB2312" w:cs="仿宋_GB2312"/>
          <w:color w:val="auto"/>
          <w:sz w:val="32"/>
          <w:szCs w:val="32"/>
          <w:highlight w:val="none"/>
        </w:rPr>
        <w:t>八、一般公共预算财政拨款基本支出决算表</w:t>
      </w:r>
      <w:bookmarkEnd w:id="96"/>
      <w:bookmarkEnd w:id="97"/>
    </w:p>
    <w:p w14:paraId="00664CFF">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98" w:name="_Toc18408"/>
      <w:bookmarkStart w:id="99" w:name="_Toc15396627"/>
      <w:r>
        <w:rPr>
          <w:rFonts w:hint="eastAsia" w:ascii="Times New Roman" w:hAnsi="Times New Roman" w:eastAsia="仿宋_GB2312" w:cs="仿宋_GB2312"/>
          <w:color w:val="auto"/>
          <w:sz w:val="32"/>
          <w:szCs w:val="32"/>
          <w:highlight w:val="none"/>
        </w:rPr>
        <w:t>九、一般公共预算财政拨款项目支出决算表</w:t>
      </w:r>
      <w:bookmarkEnd w:id="98"/>
      <w:bookmarkEnd w:id="99"/>
    </w:p>
    <w:p w14:paraId="549A5162">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00" w:name="_Toc15396628"/>
      <w:bookmarkStart w:id="101" w:name="_Toc23903"/>
      <w:r>
        <w:rPr>
          <w:rFonts w:hint="eastAsia" w:ascii="Times New Roman" w:hAnsi="Times New Roman" w:eastAsia="仿宋_GB2312" w:cs="仿宋_GB2312"/>
          <w:color w:val="auto"/>
          <w:sz w:val="32"/>
          <w:szCs w:val="32"/>
          <w:highlight w:val="none"/>
        </w:rPr>
        <w:t>十、</w:t>
      </w:r>
      <w:bookmarkEnd w:id="100"/>
      <w:r>
        <w:rPr>
          <w:rFonts w:hint="eastAsia" w:ascii="Times New Roman" w:hAnsi="Times New Roman" w:eastAsia="仿宋_GB2312" w:cs="仿宋_GB2312"/>
          <w:color w:val="auto"/>
          <w:sz w:val="32"/>
          <w:szCs w:val="32"/>
          <w:highlight w:val="none"/>
        </w:rPr>
        <w:t>政府性基金预算财政拨款收入支出决算表</w:t>
      </w:r>
      <w:bookmarkEnd w:id="101"/>
    </w:p>
    <w:p w14:paraId="42D1FB6E">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02" w:name="_Toc15396629"/>
      <w:bookmarkStart w:id="103" w:name="_Toc30934"/>
      <w:r>
        <w:rPr>
          <w:rFonts w:hint="eastAsia" w:ascii="Times New Roman" w:hAnsi="Times New Roman" w:eastAsia="仿宋_GB2312" w:cs="仿宋_GB2312"/>
          <w:color w:val="auto"/>
          <w:sz w:val="32"/>
          <w:szCs w:val="32"/>
          <w:highlight w:val="none"/>
        </w:rPr>
        <w:t>十一、</w:t>
      </w:r>
      <w:bookmarkEnd w:id="102"/>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bookmarkEnd w:id="103"/>
    </w:p>
    <w:p w14:paraId="48391C4C">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04" w:name="_Toc15396630"/>
      <w:bookmarkStart w:id="105" w:name="_Toc30801"/>
      <w:r>
        <w:rPr>
          <w:rFonts w:hint="eastAsia" w:ascii="Times New Roman" w:hAnsi="Times New Roman" w:eastAsia="仿宋_GB2312" w:cs="仿宋_GB2312"/>
          <w:color w:val="auto"/>
          <w:sz w:val="32"/>
          <w:szCs w:val="32"/>
          <w:highlight w:val="none"/>
        </w:rPr>
        <w:t>十二、</w:t>
      </w:r>
      <w:bookmarkEnd w:id="104"/>
      <w:r>
        <w:rPr>
          <w:rFonts w:hint="eastAsia" w:ascii="Times New Roman" w:hAnsi="Times New Roman" w:eastAsia="仿宋_GB2312" w:cs="仿宋_GB2312"/>
          <w:color w:val="auto"/>
          <w:sz w:val="32"/>
          <w:szCs w:val="32"/>
          <w:highlight w:val="none"/>
          <w:lang w:eastAsia="zh-CN"/>
        </w:rPr>
        <w:t>国有资本经营预算财政拨款支出决算表</w:t>
      </w:r>
      <w:bookmarkEnd w:id="105"/>
    </w:p>
    <w:p w14:paraId="6C96E035">
      <w:pPr>
        <w:pStyle w:val="17"/>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lang w:eastAsia="zh-CN"/>
        </w:rPr>
      </w:pPr>
      <w:bookmarkStart w:id="106" w:name="_Toc15396631"/>
      <w:bookmarkStart w:id="107" w:name="_Toc5101"/>
      <w:r>
        <w:rPr>
          <w:rFonts w:hint="eastAsia" w:ascii="Times New Roman" w:hAnsi="Times New Roman" w:eastAsia="仿宋_GB2312" w:cs="仿宋_GB2312"/>
          <w:color w:val="auto"/>
          <w:sz w:val="32"/>
          <w:szCs w:val="32"/>
          <w:highlight w:val="none"/>
        </w:rPr>
        <w:t>十三、</w:t>
      </w:r>
      <w:bookmarkEnd w:id="106"/>
      <w:r>
        <w:rPr>
          <w:rFonts w:hint="eastAsia" w:ascii="Times New Roman" w:hAnsi="Times New Roman" w:eastAsia="仿宋_GB2312" w:cs="仿宋_GB2312"/>
          <w:color w:val="auto"/>
          <w:sz w:val="32"/>
          <w:szCs w:val="32"/>
          <w:highlight w:val="none"/>
          <w:lang w:eastAsia="zh-CN"/>
        </w:rPr>
        <w:t>财政拨款“三公”经费支出决算表</w:t>
      </w:r>
      <w:bookmarkEnd w:id="107"/>
    </w:p>
    <w:p w14:paraId="7D57E975">
      <w:pPr>
        <w:rPr>
          <w:rFonts w:hint="eastAsia" w:ascii="Times New Roman" w:hAnsi="Times New Roman"/>
          <w:lang w:eastAsia="zh-CN"/>
        </w:rPr>
      </w:pPr>
    </w:p>
    <w:sectPr>
      <w:footerReference r:id="rId8" w:type="default"/>
      <w:pgSz w:w="11906" w:h="16838"/>
      <w:pgMar w:top="1440" w:right="1800" w:bottom="1440" w:left="1800" w:header="851" w:footer="992" w:gutter="0"/>
      <w:pgNumType w:fmt="decimal"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CF237C-7821-4253-9EBB-DFA936222A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CA8B2CD-59FE-40CA-BEBD-E00E865CD993}"/>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B1FC5319-A115-4906-BD6C-DB360836D3EC}"/>
  </w:font>
  <w:font w:name="仿宋">
    <w:panose1 w:val="02010609060101010101"/>
    <w:charset w:val="86"/>
    <w:family w:val="modern"/>
    <w:pitch w:val="default"/>
    <w:sig w:usb0="800002BF" w:usb1="38CF7CFA" w:usb2="00000016" w:usb3="00000000" w:csb0="00040001" w:csb1="00000000"/>
    <w:embedRegular r:id="rId4" w:fontKey="{15DBA92D-37B8-46BE-A73B-3DA419E4AC1C}"/>
  </w:font>
  <w:font w:name="方正仿宋简体">
    <w:altName w:val="微软雅黑"/>
    <w:panose1 w:val="03000509000000000000"/>
    <w:charset w:val="86"/>
    <w:family w:val="script"/>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0010101010101"/>
    <w:charset w:val="86"/>
    <w:family w:val="script"/>
    <w:pitch w:val="default"/>
    <w:sig w:usb0="00000001" w:usb1="080E0000" w:usb2="00000000" w:usb3="00000000" w:csb0="00040000" w:csb1="00000000"/>
    <w:embedRegular r:id="rId5" w:fontKey="{25E8D848-4FF1-4DBC-8584-603F61A92ECB}"/>
  </w:font>
  <w:font w:name="方正小标宋_GBK">
    <w:panose1 w:val="02000000000000000000"/>
    <w:charset w:val="86"/>
    <w:family w:val="auto"/>
    <w:pitch w:val="default"/>
    <w:sig w:usb0="A00002BF" w:usb1="38CF7CFA" w:usb2="00082016" w:usb3="00000000" w:csb0="00040001" w:csb1="00000000"/>
    <w:embedRegular r:id="rId6" w:fontKey="{914FBAEE-D1DF-42CD-BBCA-F080D60A3934}"/>
  </w:font>
  <w:font w:name="方正仿宋_GBK">
    <w:panose1 w:val="02000000000000000000"/>
    <w:charset w:val="86"/>
    <w:family w:val="script"/>
    <w:pitch w:val="default"/>
    <w:sig w:usb0="A00002BF" w:usb1="38CF7CFA" w:usb2="00082016" w:usb3="00000000" w:csb0="00040001" w:csb1="00000000"/>
    <w:embedRegular r:id="rId7" w:fontKey="{9075BFA1-8D14-44C0-B0C8-F7B6EC0EE946}"/>
  </w:font>
  <w:font w:name="Arial">
    <w:panose1 w:val="020B0604020202020204"/>
    <w:charset w:val="00"/>
    <w:family w:val="swiss"/>
    <w:pitch w:val="default"/>
    <w:sig w:usb0="E0002EFF" w:usb1="C000785B" w:usb2="00000009" w:usb3="00000000" w:csb0="400001FF" w:csb1="FFFF0000"/>
  </w:font>
  <w:font w:name="方正仿宋_GB2312">
    <w:panose1 w:val="02000000000000000000"/>
    <w:charset w:val="86"/>
    <w:family w:val="auto"/>
    <w:pitch w:val="default"/>
    <w:sig w:usb0="A00002BF" w:usb1="184F6CFA" w:usb2="00000012" w:usb3="00000000" w:csb0="00040001" w:csb1="00000000"/>
    <w:embedRegular r:id="rId8" w:fontKey="{D6738CC9-CAC9-4ECC-90A5-7BDEEC91EECE}"/>
  </w:font>
  <w:font w:name="方正楷体_GBK">
    <w:panose1 w:val="02000000000000000000"/>
    <w:charset w:val="86"/>
    <w:family w:val="auto"/>
    <w:pitch w:val="default"/>
    <w:sig w:usb0="800002BF" w:usb1="38CF7CFA" w:usb2="00000016" w:usb3="00000000" w:csb0="00040000" w:csb1="00000000"/>
    <w:embedRegular r:id="rId9" w:fontKey="{206125EE-A933-4BD1-B9C9-B96A3A88CF0A}"/>
  </w:font>
  <w:font w:name="楷体_GB2312">
    <w:altName w:val="楷体"/>
    <w:panose1 w:val="02010609030101010101"/>
    <w:charset w:val="86"/>
    <w:family w:val="auto"/>
    <w:pitch w:val="default"/>
    <w:sig w:usb0="00000000" w:usb1="00000000" w:usb2="00000000" w:usb3="00000000" w:csb0="00040000" w:csb1="00000000"/>
    <w:embedRegular r:id="rId10" w:fontKey="{B0EC4E12-D890-486C-A754-C2229AAF7577}"/>
  </w:font>
  <w:font w:name="楷体">
    <w:panose1 w:val="02010609060101010101"/>
    <w:charset w:val="86"/>
    <w:family w:val="auto"/>
    <w:pitch w:val="default"/>
    <w:sig w:usb0="800002BF" w:usb1="38CF7CFA" w:usb2="00000016" w:usb3="00000000" w:csb0="00040001" w:csb1="00000000"/>
  </w:font>
  <w:font w:name="方正黑体_GBK">
    <w:panose1 w:val="02010600010101010101"/>
    <w:charset w:val="86"/>
    <w:family w:val="script"/>
    <w:pitch w:val="default"/>
    <w:sig w:usb0="00000001" w:usb1="080E0000" w:usb2="00000000" w:usb3="00000000" w:csb0="00040000" w:csb1="00000000"/>
    <w:embedRegular r:id="rId11" w:fontKey="{654C9539-1CEE-4347-B761-1AF6BD230F6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A5C8">
    <w:pPr>
      <w:pStyle w:val="12"/>
      <w:jc w:val="center"/>
    </w:pPr>
  </w:p>
  <w:p w14:paraId="3B0CED42">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B7E91">
    <w:pPr>
      <w:pStyle w:val="12"/>
      <w:jc w:val="center"/>
    </w:pPr>
  </w:p>
  <w:p w14:paraId="2F74EC35">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5A813">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1E9CE4">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E1E9CE4">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AF06E">
    <w:pPr>
      <w:pStyle w:val="12"/>
      <w:jc w:val="center"/>
    </w:pPr>
  </w:p>
  <w:p w14:paraId="6175C6AD">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A358C">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59B18">
                          <w:pPr>
                            <w:pStyle w:val="1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B259B18">
                    <w:pPr>
                      <w:pStyle w:val="12"/>
                    </w:pPr>
                    <w:r>
                      <w:fldChar w:fldCharType="begin"/>
                    </w:r>
                    <w:r>
                      <w:instrText xml:space="preserve"> PAGE  \* MERGEFORMAT </w:instrText>
                    </w:r>
                    <w:r>
                      <w:fldChar w:fldCharType="separate"/>
                    </w:r>
                    <w:r>
                      <w:t>- 2 -</w:t>
                    </w:r>
                    <w:r>
                      <w:fldChar w:fldCharType="end"/>
                    </w:r>
                  </w:p>
                </w:txbxContent>
              </v:textbox>
            </v:shape>
          </w:pict>
        </mc:Fallback>
      </mc:AlternateContent>
    </w:r>
  </w:p>
  <w:p w14:paraId="04EE0C0D">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A93BA">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FC305"/>
    <w:multiLevelType w:val="singleLevel"/>
    <w:tmpl w:val="A17FC305"/>
    <w:lvl w:ilvl="0" w:tentative="0">
      <w:start w:val="2"/>
      <w:numFmt w:val="chineseCounting"/>
      <w:suff w:val="nothing"/>
      <w:lvlText w:val="（%1）"/>
      <w:lvlJc w:val="left"/>
      <w:rPr>
        <w:rFonts w:hint="eastAsia"/>
      </w:rPr>
    </w:lvl>
  </w:abstractNum>
  <w:abstractNum w:abstractNumId="1">
    <w:nsid w:val="C83F71C4"/>
    <w:multiLevelType w:val="singleLevel"/>
    <w:tmpl w:val="C83F71C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356591"/>
    <w:rsid w:val="066E0107"/>
    <w:rsid w:val="07996F6E"/>
    <w:rsid w:val="07DFD8BA"/>
    <w:rsid w:val="09867E8F"/>
    <w:rsid w:val="0A2032A3"/>
    <w:rsid w:val="0CA8290A"/>
    <w:rsid w:val="0D35B1ED"/>
    <w:rsid w:val="0E254B6B"/>
    <w:rsid w:val="0F687993"/>
    <w:rsid w:val="0F98263C"/>
    <w:rsid w:val="101860EC"/>
    <w:rsid w:val="101F47CC"/>
    <w:rsid w:val="10C055FF"/>
    <w:rsid w:val="11694EBD"/>
    <w:rsid w:val="11772AA4"/>
    <w:rsid w:val="118107EC"/>
    <w:rsid w:val="11E72FFA"/>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6361C3"/>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A10963"/>
    <w:rsid w:val="3AB79AF3"/>
    <w:rsid w:val="3AD92925"/>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0856CF2"/>
    <w:rsid w:val="537E6D0A"/>
    <w:rsid w:val="53F74C96"/>
    <w:rsid w:val="55170BA8"/>
    <w:rsid w:val="553218C9"/>
    <w:rsid w:val="567E1AA5"/>
    <w:rsid w:val="56E47B74"/>
    <w:rsid w:val="57175D52"/>
    <w:rsid w:val="576B7101"/>
    <w:rsid w:val="57703627"/>
    <w:rsid w:val="57BD3DD4"/>
    <w:rsid w:val="598210AC"/>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19B0F3D"/>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07F0E6F"/>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styleId="6">
    <w:name w:val="Normal Indent"/>
    <w:basedOn w:val="1"/>
    <w:next w:val="7"/>
    <w:qFormat/>
    <w:uiPriority w:val="0"/>
    <w:pPr>
      <w:keepNext w:val="0"/>
      <w:keepLines w:val="0"/>
      <w:widowControl w:val="0"/>
      <w:suppressLineNumbers w:val="0"/>
      <w:spacing w:before="0" w:beforeAutospacing="0" w:after="0" w:afterAutospacing="0" w:line="240" w:lineRule="auto"/>
      <w:ind w:left="0" w:firstLine="567"/>
      <w:jc w:val="both"/>
    </w:pPr>
    <w:rPr>
      <w:rFonts w:ascii="Calibri" w:hAnsi="Calibri" w:eastAsia="宋体" w:cs="Times New Roman"/>
      <w:kern w:val="2"/>
      <w:sz w:val="21"/>
      <w:szCs w:val="21"/>
      <w:lang w:val="en-US" w:eastAsia="zh-CN" w:bidi="ar"/>
    </w:rPr>
  </w:style>
  <w:style w:type="paragraph" w:styleId="7">
    <w:name w:val="Date"/>
    <w:basedOn w:val="1"/>
    <w:next w:val="1"/>
    <w:qFormat/>
    <w:uiPriority w:val="0"/>
    <w:pPr>
      <w:ind w:left="2500" w:leftChars="2500"/>
    </w:pPr>
    <w:rPr>
      <w:rFonts w:ascii="方正仿宋简体" w:eastAsia="方正仿宋简体"/>
      <w:szCs w:val="20"/>
    </w:rPr>
  </w:style>
  <w:style w:type="paragraph" w:styleId="8">
    <w:name w:val="Body Text"/>
    <w:basedOn w:val="1"/>
    <w:link w:val="27"/>
    <w:qFormat/>
    <w:uiPriority w:val="99"/>
    <w:pPr>
      <w:spacing w:beforeLines="30"/>
    </w:pPr>
    <w:rPr>
      <w:rFonts w:ascii="仿宋_GB2312" w:eastAsia="仿宋_GB2312"/>
      <w:kern w:val="0"/>
      <w:sz w:val="30"/>
    </w:rPr>
  </w:style>
  <w:style w:type="paragraph" w:styleId="9">
    <w:name w:val="Body Text Indent"/>
    <w:basedOn w:val="1"/>
    <w:next w:val="6"/>
    <w:qFormat/>
    <w:uiPriority w:val="0"/>
    <w:pPr>
      <w:spacing w:after="120"/>
      <w:ind w:leftChars="200"/>
    </w:pPr>
    <w:rPr>
      <w:rFonts w:ascii="仿宋_GB2312"/>
      <w:szCs w:val="32"/>
    </w:r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3"/>
    <w:semiHidden/>
    <w:unhideWhenUsed/>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footnote text"/>
    <w:basedOn w:val="1"/>
    <w:next w:val="16"/>
    <w:semiHidden/>
    <w:qFormat/>
    <w:uiPriority w:val="0"/>
    <w:pPr>
      <w:snapToGrid w:val="0"/>
      <w:jc w:val="left"/>
    </w:pPr>
    <w:rPr>
      <w:sz w:val="18"/>
      <w:szCs w:val="18"/>
    </w:rPr>
  </w:style>
  <w:style w:type="paragraph" w:styleId="16">
    <w:name w:val="Body Text First Indent 2"/>
    <w:basedOn w:val="9"/>
    <w:next w:val="1"/>
    <w:unhideWhenUsed/>
    <w:qFormat/>
    <w:uiPriority w:val="99"/>
    <w:pPr>
      <w:ind w:firstLine="420" w:firstLineChars="200"/>
    </w:pPr>
  </w:style>
  <w:style w:type="paragraph" w:styleId="17">
    <w:name w:val="toc 2"/>
    <w:basedOn w:val="1"/>
    <w:next w:val="1"/>
    <w:unhideWhenUsed/>
    <w:qFormat/>
    <w:uiPriority w:val="39"/>
    <w:pPr>
      <w:tabs>
        <w:tab w:val="right" w:leader="dot" w:pos="8296"/>
      </w:tabs>
      <w:ind w:left="420" w:leftChars="200"/>
    </w:p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Header Char"/>
    <w:basedOn w:val="19"/>
    <w:semiHidden/>
    <w:qFormat/>
    <w:uiPriority w:val="99"/>
    <w:rPr>
      <w:rFonts w:ascii="Times New Roman" w:hAnsi="Times New Roman"/>
      <w:sz w:val="18"/>
      <w:szCs w:val="18"/>
    </w:rPr>
  </w:style>
  <w:style w:type="character" w:customStyle="1" w:styleId="23">
    <w:name w:val="页眉 Char"/>
    <w:link w:val="13"/>
    <w:semiHidden/>
    <w:qFormat/>
    <w:locked/>
    <w:uiPriority w:val="99"/>
    <w:rPr>
      <w:sz w:val="18"/>
    </w:rPr>
  </w:style>
  <w:style w:type="character" w:customStyle="1" w:styleId="24">
    <w:name w:val="Footer Char"/>
    <w:basedOn w:val="19"/>
    <w:semiHidden/>
    <w:qFormat/>
    <w:uiPriority w:val="99"/>
    <w:rPr>
      <w:rFonts w:ascii="Times New Roman" w:hAnsi="Times New Roman"/>
      <w:sz w:val="18"/>
      <w:szCs w:val="18"/>
    </w:rPr>
  </w:style>
  <w:style w:type="character" w:customStyle="1" w:styleId="25">
    <w:name w:val="页脚 Char"/>
    <w:link w:val="12"/>
    <w:qFormat/>
    <w:locked/>
    <w:uiPriority w:val="99"/>
    <w:rPr>
      <w:sz w:val="18"/>
    </w:rPr>
  </w:style>
  <w:style w:type="character" w:customStyle="1" w:styleId="26">
    <w:name w:val="Body Text Char"/>
    <w:basedOn w:val="19"/>
    <w:semiHidden/>
    <w:qFormat/>
    <w:uiPriority w:val="99"/>
    <w:rPr>
      <w:rFonts w:ascii="Times New Roman" w:hAnsi="Times New Roman"/>
      <w:szCs w:val="24"/>
    </w:rPr>
  </w:style>
  <w:style w:type="character" w:customStyle="1" w:styleId="27">
    <w:name w:val="正文文本 Char"/>
    <w:link w:val="8"/>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9"/>
    <w:link w:val="3"/>
    <w:qFormat/>
    <w:uiPriority w:val="9"/>
    <w:rPr>
      <w:rFonts w:ascii="Times New Roman" w:hAnsi="Times New Roman"/>
      <w:b/>
      <w:bCs/>
      <w:kern w:val="44"/>
      <w:sz w:val="44"/>
      <w:szCs w:val="44"/>
    </w:rPr>
  </w:style>
  <w:style w:type="character" w:customStyle="1" w:styleId="31">
    <w:name w:val="标题 2 Char"/>
    <w:basedOn w:val="19"/>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9"/>
    <w:link w:val="11"/>
    <w:semiHidden/>
    <w:qFormat/>
    <w:uiPriority w:val="99"/>
    <w:rPr>
      <w:rFonts w:ascii="Times New Roman" w:hAnsi="Times New Roman"/>
      <w:kern w:val="2"/>
      <w:sz w:val="18"/>
      <w:szCs w:val="18"/>
    </w:rPr>
  </w:style>
  <w:style w:type="character" w:customStyle="1" w:styleId="34">
    <w:name w:val="标题 3 Char"/>
    <w:basedOn w:val="19"/>
    <w:link w:val="5"/>
    <w:qFormat/>
    <w:uiPriority w:val="9"/>
    <w:rPr>
      <w:rFonts w:ascii="Times New Roman" w:hAnsi="Times New Roman"/>
      <w:b/>
      <w:bCs/>
      <w:kern w:val="2"/>
      <w:sz w:val="32"/>
      <w:szCs w:val="32"/>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openxmlformats.org/officeDocument/2006/relationships/image" Target="../media/image3.png"/><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4" Type="http://schemas.openxmlformats.org/officeDocument/2006/relationships/image" Target="../media/image3.png"/><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4" Type="http://schemas.openxmlformats.org/officeDocument/2006/relationships/image" Target="../media/image3.png"/><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image" Target="../media/image4.png"/><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72708113804"/>
          <c:y val="0.0287485907553551"/>
        </c:manualLayout>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
                </c:pt>
              </c:strCache>
            </c:strRef>
          </c:tx>
          <c:spPr>
            <a:blipFill>
              <a:blip xmlns:r="http://schemas.openxmlformats.org/officeDocument/2006/relationships" r:embed="rId2"/>
              <a:stretch>
                <a:fillRect/>
              </a:stretch>
            </a:blipFill>
            <a:ln w="3175">
              <a:solidFill>
                <a:schemeClr val="bg1"/>
              </a:solidFill>
            </a:ln>
            <a:effectLst/>
          </c:spPr>
          <c:invertIfNegative val="0"/>
          <c:pictureOptions>
            <c:pictureFormat val="stack"/>
          </c:pictureOptions>
          <c:dLbls>
            <c:spPr>
              <a:noFill/>
              <a:ln>
                <a:noFill/>
              </a:ln>
              <a:effectLst/>
            </c:spPr>
            <c:txPr>
              <a:bodyPr rot="0" spcFirstLastPara="0" vertOverflow="ellipsis" vert="horz" wrap="square" lIns="38100" tIns="19050" rIns="38100" bIns="19050" anchor="ctr" anchorCtr="1" forceAA="0"/>
              <a:lstStyle/>
              <a:p>
                <a:pPr>
                  <a:defRPr lang="zh-CN" sz="1050" b="1" i="0" u="none" strike="noStrike" kern="1200" baseline="0">
                    <a:solidFill>
                      <a:schemeClr val="bg1"/>
                    </a:solidFill>
                    <a:latin typeface="Arial" panose="020B0604020202020204" pitchFamily="2" charset="0"/>
                    <a:ea typeface="微软雅黑" panose="020B0503020204020204" charset="-122"/>
                    <a:cs typeface="Arial" panose="020B0604020202020204" pitchFamily="2"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Sheet1!$A$2:$A$5</c:f>
              <c:numCache>
                <c:formatCode>General</c:formatCode>
                <c:ptCount val="4"/>
                <c:pt idx="1">
                  <c:v>2023</c:v>
                </c:pt>
                <c:pt idx="2">
                  <c:v>2024</c:v>
                </c:pt>
              </c:numCache>
            </c:numRef>
          </c:cat>
          <c:val>
            <c:numRef>
              <c:f>Sheet1!$B$2:$B$5</c:f>
              <c:numCache>
                <c:formatCode>General</c:formatCode>
                <c:ptCount val="4"/>
              </c:numCache>
            </c:numRef>
          </c:val>
        </c:ser>
        <c:ser>
          <c:idx val="1"/>
          <c:order val="1"/>
          <c:tx>
            <c:strRef>
              <c:f>Sheet1!$C$1</c:f>
              <c:strCache>
                <c:ptCount val="1"/>
                <c:pt idx="0">
                  <c:v>2023年</c:v>
                </c:pt>
              </c:strCache>
            </c:strRef>
          </c:tx>
          <c:spPr>
            <a:blipFill>
              <a:blip xmlns:r="http://schemas.openxmlformats.org/officeDocument/2006/relationships" r:embed="rId3"/>
              <a:stretch>
                <a:fillRect/>
              </a:stretch>
            </a:blipFill>
            <a:ln w="3175">
              <a:solidFill>
                <a:schemeClr val="bg1"/>
              </a:solidFill>
            </a:ln>
            <a:effectLst/>
          </c:spPr>
          <c:invertIfNegative val="0"/>
          <c:pictureOptions>
            <c:pictureFormat val="stack"/>
          </c:pictureOptions>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Arial" panose="020B0604020202020204" pitchFamily="2" charset="0"/>
                    <a:ea typeface="微软雅黑" panose="020B0503020204020204" charset="-122"/>
                    <a:cs typeface="Arial" panose="020B0604020202020204" pitchFamily="2"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Sheet1!$A$2:$A$5</c:f>
              <c:numCache>
                <c:formatCode>General</c:formatCode>
                <c:ptCount val="4"/>
                <c:pt idx="1">
                  <c:v>2023</c:v>
                </c:pt>
                <c:pt idx="2">
                  <c:v>2024</c:v>
                </c:pt>
              </c:numCache>
            </c:numRef>
          </c:cat>
          <c:val>
            <c:numRef>
              <c:f>Sheet1!$C$2:$C$5</c:f>
              <c:numCache>
                <c:formatCode>General</c:formatCode>
                <c:ptCount val="4"/>
                <c:pt idx="1">
                  <c:v>3692.99</c:v>
                </c:pt>
              </c:numCache>
            </c:numRef>
          </c:val>
        </c:ser>
        <c:ser>
          <c:idx val="2"/>
          <c:order val="2"/>
          <c:tx>
            <c:strRef>
              <c:f>Sheet1!$D$1</c:f>
              <c:strCache>
                <c:ptCount val="1"/>
                <c:pt idx="0">
                  <c:v>2024年</c:v>
                </c:pt>
              </c:strCache>
            </c:strRef>
          </c:tx>
          <c:spPr>
            <a:blipFill>
              <a:blip xmlns:r="http://schemas.openxmlformats.org/officeDocument/2006/relationships" r:embed="rId4"/>
              <a:stretch>
                <a:fillRect/>
              </a:stretch>
            </a:blipFill>
            <a:ln w="3175">
              <a:solidFill>
                <a:schemeClr val="bg1"/>
              </a:solidFill>
            </a:ln>
            <a:effectLst/>
          </c:spPr>
          <c:invertIfNegative val="0"/>
          <c:pictureOptions>
            <c:pictureFormat val="stack"/>
          </c:pictureOptions>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Arial" panose="020B0604020202020204" pitchFamily="2" charset="0"/>
                    <a:ea typeface="微软雅黑" panose="020B0503020204020204" charset="-122"/>
                    <a:cs typeface="Arial" panose="020B0604020202020204" pitchFamily="2"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Sheet1!$A$2:$A$5</c:f>
              <c:numCache>
                <c:formatCode>General</c:formatCode>
                <c:ptCount val="4"/>
                <c:pt idx="1">
                  <c:v>2023</c:v>
                </c:pt>
                <c:pt idx="2">
                  <c:v>2024</c:v>
                </c:pt>
              </c:numCache>
            </c:numRef>
          </c:cat>
          <c:val>
            <c:numRef>
              <c:f>Sheet1!$D$2:$D$5</c:f>
              <c:numCache>
                <c:formatCode>General</c:formatCode>
                <c:ptCount val="4"/>
                <c:pt idx="2">
                  <c:v>4398.24</c:v>
                </c:pt>
              </c:numCache>
            </c:numRef>
          </c:val>
        </c:ser>
        <c:dLbls>
          <c:showLegendKey val="0"/>
          <c:showVal val="1"/>
          <c:showCatName val="0"/>
          <c:showSerName val="0"/>
          <c:showPercent val="0"/>
          <c:showBubbleSize val="0"/>
        </c:dLbls>
        <c:gapWidth val="160"/>
        <c:axId val="632020008"/>
        <c:axId val="156059363"/>
      </c:barChart>
      <c:catAx>
        <c:axId val="632020008"/>
        <c:scaling>
          <c:orientation val="minMax"/>
        </c:scaling>
        <c:delete val="0"/>
        <c:axPos val="b"/>
        <c:numFmt formatCode="General" sourceLinked="1"/>
        <c:majorTickMark val="none"/>
        <c:minorTickMark val="none"/>
        <c:tickLblPos val="nextTo"/>
        <c:spPr>
          <a:noFill/>
          <a:ln w="190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Arial" panose="020B0604020202020204" pitchFamily="2" charset="0"/>
                <a:ea typeface="微软雅黑" panose="020B0503020204020204" charset="-122"/>
                <a:cs typeface="Arial" panose="020B0604020202020204" pitchFamily="2" charset="0"/>
              </a:defRPr>
            </a:pPr>
          </a:p>
        </c:txPr>
        <c:crossAx val="156059363"/>
        <c:crosses val="autoZero"/>
        <c:auto val="1"/>
        <c:lblAlgn val="ctr"/>
        <c:lblOffset val="100"/>
        <c:noMultiLvlLbl val="0"/>
      </c:catAx>
      <c:valAx>
        <c:axId val="156059363"/>
        <c:scaling>
          <c:orientation val="minMax"/>
        </c:scaling>
        <c:delete val="0"/>
        <c:axPos val="l"/>
        <c:majorGridlines>
          <c:spPr>
            <a:ln w="9525" cap="flat" cmpd="sng" algn="ctr">
              <a:solidFill>
                <a:schemeClr val="bg1">
                  <a:lumMod val="85000"/>
                </a:schemeClr>
              </a:solidFill>
              <a:prstDash val="solid"/>
              <a:round/>
            </a:ln>
            <a:effectLst/>
          </c:spPr>
        </c:majorGridlines>
        <c:minorGridlines>
          <c:spPr>
            <a:ln w="9525" cap="flat" cmpd="sng" algn="ctr">
              <a:solidFill>
                <a:schemeClr val="tx1">
                  <a:lumMod val="5000"/>
                  <a:lumOff val="95000"/>
                </a:schemeClr>
              </a:solidFill>
              <a:prstDash val="solid"/>
              <a:round/>
            </a:ln>
            <a:effectLst/>
          </c:spPr>
        </c:min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Arial" panose="020B0604020202020204" pitchFamily="2" charset="0"/>
                <a:ea typeface="微软雅黑" panose="020B0503020204020204" charset="-122"/>
                <a:cs typeface="Arial" panose="020B0604020202020204" pitchFamily="2" charset="0"/>
              </a:defRPr>
            </a:pPr>
          </a:p>
        </c:txPr>
        <c:crossAx val="632020008"/>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Arial" panose="020B0604020202020204" pitchFamily="2" charset="0"/>
              <a:ea typeface="微软雅黑" panose="020B0503020204020204" charset="-122"/>
              <a:cs typeface="Arial" panose="020B0604020202020204" pitchFamily="2" charset="0"/>
            </a:defRPr>
          </a:pPr>
        </a:p>
      </c:txPr>
    </c:legend>
    <c:plotVisOnly val="1"/>
    <c:dispBlanksAs val="gap"/>
    <c:showDLblsOverMax val="0"/>
    <c:extLst>
      <c:ext uri="{0b15fc19-7d7d-44ad-8c2d-2c3a37ce22c3}">
        <chartProps xmlns="https://web.wps.cn/et/2018/main" chartId="{bb5193c3-5f1a-4c38-bb7f-7af8c077ce6d}"/>
      </c:ext>
    </c:extLst>
  </c:chart>
  <c:spPr>
    <a:solidFill>
      <a:schemeClr val="bg1"/>
    </a:solidFill>
    <a:ln w="9525" cap="flat" cmpd="sng" algn="ctr">
      <a:solidFill>
        <a:schemeClr val="bg1">
          <a:lumMod val="95000"/>
        </a:schemeClr>
      </a:solidFill>
      <a:prstDash val="solid"/>
      <a:round/>
    </a:ln>
    <a:effectLst/>
  </c:spPr>
  <c:txPr>
    <a:bodyPr/>
    <a:lstStyle/>
    <a:p>
      <a:pPr>
        <a:defRPr lang="zh-CN">
          <a:solidFill>
            <a:srgbClr val="175A83"/>
          </a:solidFill>
          <a:latin typeface="Arial" panose="020B0604020202020204" pitchFamily="2" charset="0"/>
          <a:ea typeface="微软雅黑" panose="020B0503020204020204" charset="-122"/>
          <a:cs typeface="Arial" panose="020B0604020202020204" pitchFamily="2"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29466791393826"/>
          <c:y val="0.186425541415495"/>
          <c:w val="0.424295068822665"/>
          <c:h val="0.708863585621791"/>
        </c:manualLayout>
      </c:layout>
      <c:pieChart>
        <c:varyColors val="1"/>
        <c:ser>
          <c:idx val="0"/>
          <c:order val="0"/>
          <c:tx>
            <c:strRef>
              <c:f>Sheet1!$B$1</c:f>
              <c:strCache>
                <c:ptCount val="1"/>
                <c:pt idx="0">
                  <c:v>列1</c:v>
                </c:pt>
              </c:strCache>
            </c:strRef>
          </c:tx>
          <c:spPr>
            <a:solidFill>
              <a:srgbClr val="384C91"/>
            </a:solidFill>
            <a:effectLst>
              <a:outerShdw blurRad="63500" sx="102000" sy="102000" algn="ctr" rotWithShape="0">
                <a:prstClr val="black">
                  <a:alpha val="40000"/>
                </a:prstClr>
              </a:outerShdw>
            </a:effectLst>
          </c:spPr>
          <c:explosion val="8"/>
          <c:dPt>
            <c:idx val="0"/>
            <c:bubble3D val="0"/>
            <c:spPr>
              <a:solidFill>
                <a:srgbClr val="ECC6B8"/>
              </a:solidFill>
              <a:ln>
                <a:noFill/>
              </a:ln>
              <a:effectLst>
                <a:outerShdw blurRad="63500" sx="102000" sy="102000" algn="ctr" rotWithShape="0">
                  <a:prstClr val="black">
                    <a:alpha val="40000"/>
                  </a:prstClr>
                </a:outerShdw>
              </a:effectLst>
            </c:spPr>
          </c:dPt>
          <c:dPt>
            <c:idx val="1"/>
            <c:bubble3D val="0"/>
            <c:spPr>
              <a:solidFill>
                <a:srgbClr val="B41D1E"/>
              </a:solidFill>
              <a:ln>
                <a:noFill/>
              </a:ln>
              <a:effectLst>
                <a:outerShdw blurRad="63500" sx="102000" sy="102000" algn="ctr" rotWithShape="0">
                  <a:prstClr val="black">
                    <a:alpha val="40000"/>
                  </a:prstClr>
                </a:outerShdw>
              </a:effectLst>
            </c:spPr>
          </c:dPt>
          <c:dPt>
            <c:idx val="2"/>
            <c:bubble3D val="0"/>
            <c:spPr>
              <a:solidFill>
                <a:srgbClr val="7085C8"/>
              </a:solidFill>
              <a:ln>
                <a:noFill/>
              </a:ln>
              <a:effectLst>
                <a:outerShdw blurRad="63500" sx="102000" sy="102000" algn="ctr" rotWithShape="0">
                  <a:prstClr val="black">
                    <a:alpha val="40000"/>
                  </a:prstClr>
                </a:outerShdw>
              </a:effectLst>
            </c:spPr>
          </c:dPt>
          <c:dPt>
            <c:idx val="3"/>
            <c:bubble3D val="0"/>
            <c:spPr>
              <a:solidFill>
                <a:srgbClr val="384C91"/>
              </a:solidFill>
              <a:ln>
                <a:noFill/>
              </a:ln>
              <a:effectLst>
                <a:outerShdw blurRad="63500" sx="102000" sy="102000" algn="ctr" rotWithShape="0">
                  <a:prstClr val="black">
                    <a:alpha val="40000"/>
                  </a:prstClr>
                </a:outerShdw>
              </a:effectLst>
            </c:spPr>
          </c:dPt>
          <c:dLbls>
            <c:dLbl>
              <c:idx val="0"/>
              <c:layout/>
              <c:dLblPos val="ctr"/>
              <c:showLegendKey val="0"/>
              <c:showVal val="0"/>
              <c:showCatName val="0"/>
              <c:showSerName val="0"/>
              <c:showPercent val="1"/>
              <c:showBubbleSize val="0"/>
              <c:separator>
</c:separator>
              <c:extLst>
                <c:ext xmlns:c15="http://schemas.microsoft.com/office/drawing/2012/chart" uri="{CE6537A1-D6FC-4f65-9D91-7224C49458BB}"/>
              </c:extLst>
            </c:dLbl>
            <c:dLbl>
              <c:idx val="1"/>
              <c:layout/>
              <c:dLblPos val="ctr"/>
              <c:showLegendKey val="0"/>
              <c:showVal val="0"/>
              <c:showCatName val="0"/>
              <c:showSerName val="0"/>
              <c:showPercent val="1"/>
              <c:showBubbleSize val="0"/>
              <c:separator>
</c:separator>
              <c:extLst>
                <c:ext xmlns:c15="http://schemas.microsoft.com/office/drawing/2012/chart" uri="{CE6537A1-D6FC-4f65-9D91-7224C49458BB}"/>
              </c:extLst>
            </c:dLbl>
            <c:dLbl>
              <c:idx val="2"/>
              <c:layout/>
              <c:dLblPos val="ctr"/>
              <c:showLegendKey val="0"/>
              <c:showVal val="0"/>
              <c:showCatName val="0"/>
              <c:showSerName val="0"/>
              <c:showPercent val="1"/>
              <c:showBubbleSize val="0"/>
              <c:separator>
</c:separator>
              <c:extLst>
                <c:ext xmlns:c15="http://schemas.microsoft.com/office/drawing/2012/chart" uri="{CE6537A1-D6FC-4f65-9D91-7224C49458BB}"/>
              </c:extLst>
            </c:dLbl>
            <c:dLbl>
              <c:idx val="3"/>
              <c:layout/>
              <c:dLblPos val="ctr"/>
              <c:showLegendKey val="0"/>
              <c:showVal val="0"/>
              <c:showCatName val="0"/>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一般公共预算财政拨款收入</c:v>
                </c:pt>
              </c:strCache>
            </c:strRef>
          </c:cat>
          <c:val>
            <c:numRef>
              <c:f>Sheet1!$B$2:$B$5</c:f>
              <c:numCache>
                <c:formatCode>General</c:formatCode>
                <c:ptCount val="4"/>
                <c:pt idx="0">
                  <c:v>4124.44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0.0160363490578645"/>
          <c:y val="0.376200044652824"/>
          <c:w val="0.120005345449686"/>
          <c:h val="0.346282652377763"/>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0d3b2c96-19d0-4aa4-8355-ba5b695ecb0d}"/>
      </c:ext>
    </c:extLst>
  </c:chart>
  <c:spPr>
    <a:blipFill rotWithShape="1">
      <a:blip xmlns:r="http://schemas.openxmlformats.org/officeDocument/2006/relationships" r:embed="rId2"/>
      <a:stretch>
        <a:fillRect/>
      </a:stretch>
    </a:blip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29466791393826"/>
          <c:y val="0.186425541415495"/>
          <c:w val="0.424295068822665"/>
          <c:h val="0.708863585621791"/>
        </c:manualLayout>
      </c:layout>
      <c:pieChart>
        <c:varyColors val="1"/>
        <c:ser>
          <c:idx val="0"/>
          <c:order val="0"/>
          <c:tx>
            <c:strRef>
              <c:f>Sheet1!$B$1</c:f>
              <c:strCache>
                <c:ptCount val="1"/>
                <c:pt idx="0">
                  <c:v>列1</c:v>
                </c:pt>
              </c:strCache>
            </c:strRef>
          </c:tx>
          <c:spPr>
            <a:solidFill>
              <a:srgbClr val="384C91"/>
            </a:solidFill>
            <a:effectLst>
              <a:outerShdw blurRad="63500" sx="102000" sy="102000" algn="ctr" rotWithShape="0">
                <a:prstClr val="black">
                  <a:alpha val="40000"/>
                </a:prstClr>
              </a:outerShdw>
            </a:effectLst>
          </c:spPr>
          <c:explosion val="8"/>
          <c:dPt>
            <c:idx val="0"/>
            <c:bubble3D val="0"/>
            <c:spPr>
              <a:solidFill>
                <a:srgbClr val="ECC6B8"/>
              </a:solidFill>
              <a:ln>
                <a:noFill/>
              </a:ln>
              <a:effectLst>
                <a:outerShdw blurRad="63500" sx="102000" sy="102000" algn="ctr" rotWithShape="0">
                  <a:prstClr val="black">
                    <a:alpha val="40000"/>
                  </a:prstClr>
                </a:outerShdw>
              </a:effectLst>
            </c:spPr>
          </c:dPt>
          <c:dPt>
            <c:idx val="1"/>
            <c:bubble3D val="0"/>
            <c:spPr>
              <a:solidFill>
                <a:srgbClr val="B41D1E"/>
              </a:solidFill>
              <a:ln>
                <a:noFill/>
              </a:ln>
              <a:effectLst>
                <a:outerShdw blurRad="63500" sx="102000" sy="102000" algn="ctr" rotWithShape="0">
                  <a:prstClr val="black">
                    <a:alpha val="40000"/>
                  </a:prstClr>
                </a:outerShdw>
              </a:effectLst>
            </c:spPr>
          </c:dPt>
          <c:dPt>
            <c:idx val="2"/>
            <c:bubble3D val="0"/>
            <c:spPr>
              <a:solidFill>
                <a:srgbClr val="7085C8"/>
              </a:solidFill>
              <a:ln>
                <a:noFill/>
              </a:ln>
              <a:effectLst>
                <a:outerShdw blurRad="63500" sx="102000" sy="102000" algn="ctr" rotWithShape="0">
                  <a:prstClr val="black">
                    <a:alpha val="40000"/>
                  </a:prstClr>
                </a:outerShdw>
              </a:effectLst>
            </c:spPr>
          </c:dPt>
          <c:dPt>
            <c:idx val="3"/>
            <c:bubble3D val="0"/>
            <c:spPr>
              <a:solidFill>
                <a:srgbClr val="384C91"/>
              </a:solidFill>
              <a:ln>
                <a:noFill/>
              </a:ln>
              <a:effectLst>
                <a:outerShdw blurRad="63500" sx="102000" sy="102000" algn="ctr" rotWithShape="0">
                  <a:prstClr val="black">
                    <a:alpha val="40000"/>
                  </a:prstClr>
                </a:outerShdw>
              </a:effectLst>
            </c:spPr>
          </c:dPt>
          <c:dLbls>
            <c:dLbl>
              <c:idx val="0"/>
              <c:layout/>
              <c:dLblPos val="ctr"/>
              <c:showLegendKey val="0"/>
              <c:showVal val="0"/>
              <c:showCatName val="0"/>
              <c:showSerName val="0"/>
              <c:showPercent val="1"/>
              <c:showBubbleSize val="0"/>
              <c:separator>
</c:separator>
              <c:extLst>
                <c:ext xmlns:c15="http://schemas.microsoft.com/office/drawing/2012/chart" uri="{CE6537A1-D6FC-4f65-9D91-7224C49458BB}"/>
              </c:extLst>
            </c:dLbl>
            <c:dLbl>
              <c:idx val="1"/>
              <c:layout/>
              <c:dLblPos val="ctr"/>
              <c:showLegendKey val="0"/>
              <c:showVal val="0"/>
              <c:showCatName val="0"/>
              <c:showSerName val="0"/>
              <c:showPercent val="1"/>
              <c:showBubbleSize val="0"/>
              <c:separator>
</c:separator>
              <c:extLst>
                <c:ext xmlns:c15="http://schemas.microsoft.com/office/drawing/2012/chart" uri="{CE6537A1-D6FC-4f65-9D91-7224C49458BB}"/>
              </c:extLst>
            </c:dLbl>
            <c:dLbl>
              <c:idx val="2"/>
              <c:layout/>
              <c:dLblPos val="ctr"/>
              <c:showLegendKey val="0"/>
              <c:showVal val="0"/>
              <c:showCatName val="0"/>
              <c:showSerName val="0"/>
              <c:showPercent val="1"/>
              <c:showBubbleSize val="0"/>
              <c:separator>
</c:separator>
              <c:extLst>
                <c:ext xmlns:c15="http://schemas.microsoft.com/office/drawing/2012/chart" uri="{CE6537A1-D6FC-4f65-9D91-7224C49458BB}"/>
              </c:extLst>
            </c:dLbl>
            <c:dLbl>
              <c:idx val="3"/>
              <c:layout/>
              <c:dLblPos val="ctr"/>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项目支出</c:v>
                </c:pt>
                <c:pt idx="1">
                  <c:v>基本支出</c:v>
                </c:pt>
              </c:strCache>
            </c:strRef>
          </c:cat>
          <c:val>
            <c:numRef>
              <c:f>Sheet1!$B$2:$B$5</c:f>
              <c:numCache>
                <c:formatCode>General</c:formatCode>
                <c:ptCount val="4"/>
                <c:pt idx="0">
                  <c:v>1905.74</c:v>
                </c:pt>
                <c:pt idx="1">
                  <c:v>2492.51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l"/>
      <c:legendEntry>
        <c:idx val="2"/>
        <c:delete val="1"/>
      </c:legendEntry>
      <c:legendEntry>
        <c:idx val="3"/>
        <c:delete val="1"/>
      </c:legendEntry>
      <c:layout>
        <c:manualLayout>
          <c:xMode val="edge"/>
          <c:yMode val="edge"/>
          <c:x val="0.0160865750219362"/>
          <c:y val="0.37620490223079"/>
          <c:w val="0.160865750219362"/>
          <c:h val="0.346185623795098"/>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b6880dfd-66a6-4f33-b7cc-3e3494ba569f}"/>
      </c:ext>
    </c:extLst>
  </c:chart>
  <c:spPr>
    <a:blipFill rotWithShape="1">
      <a:blip xmlns:r="http://schemas.openxmlformats.org/officeDocument/2006/relationships" r:embed="rId2"/>
      <a:stretch>
        <a:fillRect/>
      </a:stretch>
    </a:blip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72708113804"/>
          <c:y val="0.0287485907553551"/>
        </c:manualLayout>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
                </c:pt>
              </c:strCache>
            </c:strRef>
          </c:tx>
          <c:spPr>
            <a:blipFill>
              <a:blip xmlns:r="http://schemas.openxmlformats.org/officeDocument/2006/relationships" r:embed="rId2"/>
              <a:stretch>
                <a:fillRect/>
              </a:stretch>
            </a:blipFill>
            <a:ln w="3175">
              <a:solidFill>
                <a:schemeClr val="bg1"/>
              </a:solidFill>
            </a:ln>
            <a:effectLst/>
          </c:spPr>
          <c:invertIfNegative val="0"/>
          <c:pictureOptions>
            <c:pictureFormat val="stack"/>
          </c:pictureOptions>
          <c:dLbls>
            <c:spPr>
              <a:noFill/>
              <a:ln>
                <a:noFill/>
              </a:ln>
              <a:effectLst/>
            </c:spPr>
            <c:txPr>
              <a:bodyPr rot="0" spcFirstLastPara="0" vertOverflow="ellipsis" vert="horz" wrap="square" lIns="38100" tIns="19050" rIns="38100" bIns="19050" anchor="ctr" anchorCtr="1" forceAA="0"/>
              <a:lstStyle/>
              <a:p>
                <a:pPr>
                  <a:defRPr lang="zh-CN" sz="1050" b="1" i="0" u="none" strike="noStrike" kern="1200" baseline="0">
                    <a:solidFill>
                      <a:schemeClr val="bg1"/>
                    </a:solidFill>
                    <a:latin typeface="Arial" panose="020B0604020202020204" pitchFamily="2" charset="0"/>
                    <a:ea typeface="微软雅黑" panose="020B0503020204020204" charset="-122"/>
                    <a:cs typeface="Arial" panose="020B0604020202020204" pitchFamily="2"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1">
                  <c:v>2023年总收支</c:v>
                </c:pt>
                <c:pt idx="2">
                  <c:v>2024年总收支</c:v>
                </c:pt>
              </c:strCache>
            </c:strRef>
          </c:cat>
          <c:val>
            <c:numRef>
              <c:f>Sheet1!$B$2:$B$5</c:f>
              <c:numCache>
                <c:formatCode>General</c:formatCode>
                <c:ptCount val="4"/>
              </c:numCache>
            </c:numRef>
          </c:val>
        </c:ser>
        <c:ser>
          <c:idx val="1"/>
          <c:order val="1"/>
          <c:tx>
            <c:strRef>
              <c:f>Sheet1!$C$1</c:f>
              <c:strCache>
                <c:ptCount val="1"/>
                <c:pt idx="0">
                  <c:v>2023年</c:v>
                </c:pt>
              </c:strCache>
            </c:strRef>
          </c:tx>
          <c:spPr>
            <a:blipFill>
              <a:blip xmlns:r="http://schemas.openxmlformats.org/officeDocument/2006/relationships" r:embed="rId3"/>
              <a:stretch>
                <a:fillRect/>
              </a:stretch>
            </a:blipFill>
            <a:ln w="3175">
              <a:solidFill>
                <a:schemeClr val="bg1"/>
              </a:solidFill>
            </a:ln>
            <a:effectLst/>
          </c:spPr>
          <c:invertIfNegative val="0"/>
          <c:pictureOptions>
            <c:pictureFormat val="stack"/>
          </c:pictureOptions>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Arial" panose="020B0604020202020204" pitchFamily="2" charset="0"/>
                    <a:ea typeface="微软雅黑" panose="020B0503020204020204" charset="-122"/>
                    <a:cs typeface="Arial" panose="020B0604020202020204" pitchFamily="2"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Sheet1!$A$2:$A$5</c:f>
              <c:strCache>
                <c:ptCount val="4"/>
                <c:pt idx="1">
                  <c:v>2023年总收支</c:v>
                </c:pt>
                <c:pt idx="2">
                  <c:v>2024年总收支</c:v>
                </c:pt>
              </c:strCache>
            </c:strRef>
          </c:cat>
          <c:val>
            <c:numRef>
              <c:f>Sheet1!$C$2:$C$5</c:f>
              <c:numCache>
                <c:formatCode>General</c:formatCode>
                <c:ptCount val="4"/>
                <c:pt idx="1">
                  <c:v>3692.99</c:v>
                </c:pt>
              </c:numCache>
            </c:numRef>
          </c:val>
        </c:ser>
        <c:ser>
          <c:idx val="2"/>
          <c:order val="2"/>
          <c:tx>
            <c:strRef>
              <c:f>Sheet1!$D$1</c:f>
              <c:strCache>
                <c:ptCount val="1"/>
                <c:pt idx="0">
                  <c:v>2024年</c:v>
                </c:pt>
              </c:strCache>
            </c:strRef>
          </c:tx>
          <c:spPr>
            <a:blipFill>
              <a:blip xmlns:r="http://schemas.openxmlformats.org/officeDocument/2006/relationships" r:embed="rId4"/>
              <a:stretch>
                <a:fillRect/>
              </a:stretch>
            </a:blipFill>
            <a:ln w="3175">
              <a:solidFill>
                <a:schemeClr val="bg1"/>
              </a:solidFill>
            </a:ln>
            <a:effectLst/>
          </c:spPr>
          <c:invertIfNegative val="0"/>
          <c:pictureOptions>
            <c:pictureFormat val="stack"/>
          </c:pictureOptions>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Arial" panose="020B0604020202020204" pitchFamily="2" charset="0"/>
                    <a:ea typeface="微软雅黑" panose="020B0503020204020204" charset="-122"/>
                    <a:cs typeface="Arial" panose="020B0604020202020204" pitchFamily="2"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Sheet1!$A$2:$A$5</c:f>
              <c:strCache>
                <c:ptCount val="4"/>
                <c:pt idx="1">
                  <c:v>2023年总收支</c:v>
                </c:pt>
                <c:pt idx="2">
                  <c:v>2024年总收支</c:v>
                </c:pt>
              </c:strCache>
            </c:strRef>
          </c:cat>
          <c:val>
            <c:numRef>
              <c:f>Sheet1!$D$2:$D$5</c:f>
              <c:numCache>
                <c:formatCode>General</c:formatCode>
                <c:ptCount val="4"/>
                <c:pt idx="2">
                  <c:v>4398.24</c:v>
                </c:pt>
              </c:numCache>
            </c:numRef>
          </c:val>
        </c:ser>
        <c:dLbls>
          <c:showLegendKey val="0"/>
          <c:showVal val="1"/>
          <c:showCatName val="0"/>
          <c:showSerName val="0"/>
          <c:showPercent val="0"/>
          <c:showBubbleSize val="0"/>
        </c:dLbls>
        <c:gapWidth val="160"/>
        <c:axId val="632020008"/>
        <c:axId val="156059363"/>
      </c:barChart>
      <c:catAx>
        <c:axId val="632020008"/>
        <c:scaling>
          <c:orientation val="minMax"/>
        </c:scaling>
        <c:delete val="0"/>
        <c:axPos val="b"/>
        <c:numFmt formatCode="General" sourceLinked="1"/>
        <c:majorTickMark val="none"/>
        <c:minorTickMark val="none"/>
        <c:tickLblPos val="nextTo"/>
        <c:spPr>
          <a:noFill/>
          <a:ln w="190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Arial" panose="020B0604020202020204" pitchFamily="2" charset="0"/>
                <a:ea typeface="微软雅黑" panose="020B0503020204020204" charset="-122"/>
                <a:cs typeface="Arial" panose="020B0604020202020204" pitchFamily="2" charset="0"/>
              </a:defRPr>
            </a:pPr>
          </a:p>
        </c:txPr>
        <c:crossAx val="156059363"/>
        <c:crosses val="autoZero"/>
        <c:auto val="1"/>
        <c:lblAlgn val="ctr"/>
        <c:lblOffset val="100"/>
        <c:noMultiLvlLbl val="0"/>
      </c:catAx>
      <c:valAx>
        <c:axId val="156059363"/>
        <c:scaling>
          <c:orientation val="minMax"/>
        </c:scaling>
        <c:delete val="0"/>
        <c:axPos val="l"/>
        <c:majorGridlines>
          <c:spPr>
            <a:ln w="9525" cap="flat" cmpd="sng" algn="ctr">
              <a:solidFill>
                <a:schemeClr val="bg1">
                  <a:lumMod val="85000"/>
                </a:schemeClr>
              </a:solidFill>
              <a:prstDash val="solid"/>
              <a:round/>
            </a:ln>
            <a:effectLst/>
          </c:spPr>
        </c:majorGridlines>
        <c:minorGridlines>
          <c:spPr>
            <a:ln w="9525" cap="flat" cmpd="sng" algn="ctr">
              <a:solidFill>
                <a:schemeClr val="tx1">
                  <a:lumMod val="5000"/>
                  <a:lumOff val="95000"/>
                </a:schemeClr>
              </a:solidFill>
              <a:prstDash val="solid"/>
              <a:round/>
            </a:ln>
            <a:effectLst/>
          </c:spPr>
        </c:min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Arial" panose="020B0604020202020204" pitchFamily="2" charset="0"/>
                <a:ea typeface="微软雅黑" panose="020B0503020204020204" charset="-122"/>
                <a:cs typeface="Arial" panose="020B0604020202020204" pitchFamily="2" charset="0"/>
              </a:defRPr>
            </a:pPr>
          </a:p>
        </c:txPr>
        <c:crossAx val="632020008"/>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Arial" panose="020B0604020202020204" pitchFamily="2" charset="0"/>
              <a:ea typeface="微软雅黑" panose="020B0503020204020204" charset="-122"/>
              <a:cs typeface="Arial" panose="020B0604020202020204" pitchFamily="2" charset="0"/>
            </a:defRPr>
          </a:pPr>
        </a:p>
      </c:txPr>
    </c:legend>
    <c:plotVisOnly val="1"/>
    <c:dispBlanksAs val="gap"/>
    <c:showDLblsOverMax val="0"/>
    <c:extLst>
      <c:ext uri="{0b15fc19-7d7d-44ad-8c2d-2c3a37ce22c3}">
        <chartProps xmlns="https://web.wps.cn/et/2018/main" chartId="{12abeced-5dfb-4d17-ab6a-192317e6a0e1}"/>
      </c:ext>
    </c:extLst>
  </c:chart>
  <c:spPr>
    <a:solidFill>
      <a:schemeClr val="bg1"/>
    </a:solidFill>
    <a:ln w="9525" cap="flat" cmpd="sng" algn="ctr">
      <a:solidFill>
        <a:schemeClr val="bg1">
          <a:lumMod val="95000"/>
        </a:schemeClr>
      </a:solidFill>
      <a:prstDash val="solid"/>
      <a:round/>
    </a:ln>
    <a:effectLst/>
  </c:spPr>
  <c:txPr>
    <a:bodyPr/>
    <a:lstStyle/>
    <a:p>
      <a:pPr>
        <a:defRPr lang="zh-CN">
          <a:solidFill>
            <a:srgbClr val="175A83"/>
          </a:solidFill>
          <a:latin typeface="Arial" panose="020B0604020202020204" pitchFamily="2" charset="0"/>
          <a:ea typeface="微软雅黑" panose="020B0503020204020204" charset="-122"/>
          <a:cs typeface="Arial" panose="020B0604020202020204" pitchFamily="2"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72708113804"/>
          <c:y val="0.0287485907553551"/>
        </c:manualLayout>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
                </c:pt>
              </c:strCache>
            </c:strRef>
          </c:tx>
          <c:spPr>
            <a:blipFill>
              <a:blip xmlns:r="http://schemas.openxmlformats.org/officeDocument/2006/relationships" r:embed="rId2"/>
              <a:stretch>
                <a:fillRect/>
              </a:stretch>
            </a:blipFill>
            <a:ln w="3175">
              <a:solidFill>
                <a:schemeClr val="bg1"/>
              </a:solidFill>
            </a:ln>
            <a:effectLst/>
          </c:spPr>
          <c:invertIfNegative val="0"/>
          <c:pictureOptions>
            <c:pictureFormat val="stack"/>
          </c:pictureOptions>
          <c:dLbls>
            <c:spPr>
              <a:noFill/>
              <a:ln>
                <a:noFill/>
              </a:ln>
              <a:effectLst/>
            </c:spPr>
            <c:txPr>
              <a:bodyPr rot="0" spcFirstLastPara="0" vertOverflow="ellipsis" vert="horz" wrap="square" lIns="38100" tIns="19050" rIns="38100" bIns="19050" anchor="ctr" anchorCtr="1" forceAA="0"/>
              <a:lstStyle/>
              <a:p>
                <a:pPr>
                  <a:defRPr lang="zh-CN" sz="1050" b="1" i="0" u="none" strike="noStrike" kern="1200" baseline="0">
                    <a:solidFill>
                      <a:schemeClr val="bg1"/>
                    </a:solidFill>
                    <a:latin typeface="Arial" panose="020B0604020202020204" pitchFamily="2" charset="0"/>
                    <a:ea typeface="微软雅黑" panose="020B0503020204020204" charset="-122"/>
                    <a:cs typeface="Arial" panose="020B0604020202020204" pitchFamily="2"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Sheet1!$A$2:$A$5</c:f>
              <c:numCache>
                <c:formatCode>General</c:formatCode>
                <c:ptCount val="4"/>
                <c:pt idx="1">
                  <c:v>2023</c:v>
                </c:pt>
                <c:pt idx="2">
                  <c:v>2024</c:v>
                </c:pt>
              </c:numCache>
            </c:numRef>
          </c:cat>
          <c:val>
            <c:numRef>
              <c:f>Sheet1!$B$2:$B$5</c:f>
              <c:numCache>
                <c:formatCode>General</c:formatCode>
                <c:ptCount val="4"/>
              </c:numCache>
            </c:numRef>
          </c:val>
        </c:ser>
        <c:ser>
          <c:idx val="1"/>
          <c:order val="1"/>
          <c:tx>
            <c:strRef>
              <c:f>Sheet1!$C$1</c:f>
              <c:strCache>
                <c:ptCount val="1"/>
                <c:pt idx="0">
                  <c:v>2023年</c:v>
                </c:pt>
              </c:strCache>
            </c:strRef>
          </c:tx>
          <c:spPr>
            <a:blipFill>
              <a:blip xmlns:r="http://schemas.openxmlformats.org/officeDocument/2006/relationships" r:embed="rId3"/>
              <a:stretch>
                <a:fillRect/>
              </a:stretch>
            </a:blipFill>
            <a:ln w="3175">
              <a:solidFill>
                <a:schemeClr val="bg1"/>
              </a:solidFill>
            </a:ln>
            <a:effectLst/>
          </c:spPr>
          <c:invertIfNegative val="0"/>
          <c:pictureOptions>
            <c:pictureFormat val="stack"/>
          </c:pictureOptions>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Arial" panose="020B0604020202020204" pitchFamily="2" charset="0"/>
                    <a:ea typeface="微软雅黑" panose="020B0503020204020204" charset="-122"/>
                    <a:cs typeface="Arial" panose="020B0604020202020204" pitchFamily="2"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Sheet1!$A$2:$A$5</c:f>
              <c:numCache>
                <c:formatCode>General</c:formatCode>
                <c:ptCount val="4"/>
                <c:pt idx="1">
                  <c:v>2023</c:v>
                </c:pt>
                <c:pt idx="2">
                  <c:v>2024</c:v>
                </c:pt>
              </c:numCache>
            </c:numRef>
          </c:cat>
          <c:val>
            <c:numRef>
              <c:f>Sheet1!$C$2:$C$5</c:f>
              <c:numCache>
                <c:formatCode>General</c:formatCode>
                <c:ptCount val="4"/>
                <c:pt idx="1">
                  <c:v>3692.99</c:v>
                </c:pt>
              </c:numCache>
            </c:numRef>
          </c:val>
        </c:ser>
        <c:ser>
          <c:idx val="2"/>
          <c:order val="2"/>
          <c:tx>
            <c:strRef>
              <c:f>Sheet1!$D$1</c:f>
              <c:strCache>
                <c:ptCount val="1"/>
                <c:pt idx="0">
                  <c:v>2024年</c:v>
                </c:pt>
              </c:strCache>
            </c:strRef>
          </c:tx>
          <c:spPr>
            <a:blipFill>
              <a:blip xmlns:r="http://schemas.openxmlformats.org/officeDocument/2006/relationships" r:embed="rId4"/>
              <a:stretch>
                <a:fillRect/>
              </a:stretch>
            </a:blipFill>
            <a:ln w="3175">
              <a:solidFill>
                <a:schemeClr val="bg1"/>
              </a:solidFill>
            </a:ln>
            <a:effectLst/>
          </c:spPr>
          <c:invertIfNegative val="0"/>
          <c:pictureOptions>
            <c:pictureFormat val="stack"/>
          </c:pictureOptions>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Arial" panose="020B0604020202020204" pitchFamily="2" charset="0"/>
                    <a:ea typeface="微软雅黑" panose="020B0503020204020204" charset="-122"/>
                    <a:cs typeface="Arial" panose="020B0604020202020204" pitchFamily="2"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Sheet1!$A$2:$A$5</c:f>
              <c:numCache>
                <c:formatCode>General</c:formatCode>
                <c:ptCount val="4"/>
                <c:pt idx="1">
                  <c:v>2023</c:v>
                </c:pt>
                <c:pt idx="2">
                  <c:v>2024</c:v>
                </c:pt>
              </c:numCache>
            </c:numRef>
          </c:cat>
          <c:val>
            <c:numRef>
              <c:f>Sheet1!$D$2:$D$5</c:f>
              <c:numCache>
                <c:formatCode>General</c:formatCode>
                <c:ptCount val="4"/>
                <c:pt idx="2">
                  <c:v>4398.24</c:v>
                </c:pt>
              </c:numCache>
            </c:numRef>
          </c:val>
        </c:ser>
        <c:dLbls>
          <c:showLegendKey val="0"/>
          <c:showVal val="1"/>
          <c:showCatName val="0"/>
          <c:showSerName val="0"/>
          <c:showPercent val="0"/>
          <c:showBubbleSize val="0"/>
        </c:dLbls>
        <c:gapWidth val="160"/>
        <c:axId val="632020008"/>
        <c:axId val="156059363"/>
      </c:barChart>
      <c:catAx>
        <c:axId val="632020008"/>
        <c:scaling>
          <c:orientation val="minMax"/>
        </c:scaling>
        <c:delete val="0"/>
        <c:axPos val="b"/>
        <c:numFmt formatCode="General" sourceLinked="1"/>
        <c:majorTickMark val="none"/>
        <c:minorTickMark val="none"/>
        <c:tickLblPos val="nextTo"/>
        <c:spPr>
          <a:noFill/>
          <a:ln w="190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Arial" panose="020B0604020202020204" pitchFamily="2" charset="0"/>
                <a:ea typeface="微软雅黑" panose="020B0503020204020204" charset="-122"/>
                <a:cs typeface="Arial" panose="020B0604020202020204" pitchFamily="2" charset="0"/>
              </a:defRPr>
            </a:pPr>
          </a:p>
        </c:txPr>
        <c:crossAx val="156059363"/>
        <c:crosses val="autoZero"/>
        <c:auto val="1"/>
        <c:lblAlgn val="ctr"/>
        <c:lblOffset val="100"/>
        <c:noMultiLvlLbl val="0"/>
      </c:catAx>
      <c:valAx>
        <c:axId val="156059363"/>
        <c:scaling>
          <c:orientation val="minMax"/>
        </c:scaling>
        <c:delete val="0"/>
        <c:axPos val="l"/>
        <c:majorGridlines>
          <c:spPr>
            <a:ln w="9525" cap="flat" cmpd="sng" algn="ctr">
              <a:solidFill>
                <a:schemeClr val="bg1">
                  <a:lumMod val="85000"/>
                </a:schemeClr>
              </a:solidFill>
              <a:prstDash val="solid"/>
              <a:round/>
            </a:ln>
            <a:effectLst/>
          </c:spPr>
        </c:majorGridlines>
        <c:minorGridlines>
          <c:spPr>
            <a:ln w="9525" cap="flat" cmpd="sng" algn="ctr">
              <a:solidFill>
                <a:schemeClr val="tx1">
                  <a:lumMod val="5000"/>
                  <a:lumOff val="95000"/>
                </a:schemeClr>
              </a:solidFill>
              <a:prstDash val="solid"/>
              <a:round/>
            </a:ln>
            <a:effectLst/>
          </c:spPr>
        </c:min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Arial" panose="020B0604020202020204" pitchFamily="2" charset="0"/>
                <a:ea typeface="微软雅黑" panose="020B0503020204020204" charset="-122"/>
                <a:cs typeface="Arial" panose="020B0604020202020204" pitchFamily="2" charset="0"/>
              </a:defRPr>
            </a:pPr>
          </a:p>
        </c:txPr>
        <c:crossAx val="632020008"/>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Arial" panose="020B0604020202020204" pitchFamily="2" charset="0"/>
              <a:ea typeface="微软雅黑" panose="020B0503020204020204" charset="-122"/>
              <a:cs typeface="Arial" panose="020B0604020202020204" pitchFamily="2" charset="0"/>
            </a:defRPr>
          </a:pPr>
        </a:p>
      </c:txPr>
    </c:legend>
    <c:plotVisOnly val="1"/>
    <c:dispBlanksAs val="gap"/>
    <c:showDLblsOverMax val="0"/>
    <c:extLst>
      <c:ext uri="{0b15fc19-7d7d-44ad-8c2d-2c3a37ce22c3}">
        <chartProps xmlns="https://web.wps.cn/et/2018/main" chartId="{66326116-758c-498f-b427-962a9a1019bb}"/>
      </c:ext>
    </c:extLst>
  </c:chart>
  <c:spPr>
    <a:solidFill>
      <a:schemeClr val="bg1"/>
    </a:solidFill>
    <a:ln w="9525" cap="flat" cmpd="sng" algn="ctr">
      <a:solidFill>
        <a:schemeClr val="bg1">
          <a:lumMod val="95000"/>
        </a:schemeClr>
      </a:solidFill>
      <a:prstDash val="solid"/>
      <a:round/>
    </a:ln>
    <a:effectLst/>
  </c:spPr>
  <c:txPr>
    <a:bodyPr/>
    <a:lstStyle/>
    <a:p>
      <a:pPr>
        <a:defRPr lang="zh-CN">
          <a:solidFill>
            <a:srgbClr val="175A83"/>
          </a:solidFill>
          <a:latin typeface="Arial" panose="020B0604020202020204" pitchFamily="2" charset="0"/>
          <a:ea typeface="微软雅黑" panose="020B0503020204020204" charset="-122"/>
          <a:cs typeface="Arial" panose="020B0604020202020204" pitchFamily="2"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manualLayout>
          <c:layoutTarget val="inner"/>
          <c:xMode val="edge"/>
          <c:yMode val="edge"/>
          <c:x val="0.29466791393826"/>
          <c:y val="0.186425541415495"/>
          <c:w val="0.424295068822665"/>
          <c:h val="0.708863585621791"/>
        </c:manualLayout>
      </c:layout>
      <c:pieChart>
        <c:varyColors val="1"/>
        <c:ser>
          <c:idx val="0"/>
          <c:order val="0"/>
          <c:tx>
            <c:strRef>
              <c:f>Sheet1!$B$1</c:f>
              <c:strCache>
                <c:ptCount val="1"/>
                <c:pt idx="0">
                  <c:v>列1</c:v>
                </c:pt>
              </c:strCache>
            </c:strRef>
          </c:tx>
          <c:spPr>
            <a:solidFill>
              <a:srgbClr val="384C91"/>
            </a:solidFill>
            <a:effectLst>
              <a:outerShdw blurRad="63500" sx="102000" sy="102000" algn="ctr" rotWithShape="0">
                <a:prstClr val="black">
                  <a:alpha val="40000"/>
                </a:prstClr>
              </a:outerShdw>
            </a:effectLst>
          </c:spPr>
          <c:explosion val="8"/>
          <c:dPt>
            <c:idx val="0"/>
            <c:bubble3D val="0"/>
            <c:spPr>
              <a:solidFill>
                <a:srgbClr val="ECC6B8"/>
              </a:solidFill>
              <a:ln>
                <a:noFill/>
              </a:ln>
              <a:effectLst>
                <a:outerShdw blurRad="63500" sx="102000" sy="102000" algn="ctr" rotWithShape="0">
                  <a:prstClr val="black">
                    <a:alpha val="40000"/>
                  </a:prstClr>
                </a:outerShdw>
              </a:effectLst>
            </c:spPr>
          </c:dPt>
          <c:dPt>
            <c:idx val="1"/>
            <c:bubble3D val="0"/>
            <c:spPr>
              <a:solidFill>
                <a:srgbClr val="B41D1E"/>
              </a:solidFill>
              <a:ln>
                <a:noFill/>
              </a:ln>
              <a:effectLst>
                <a:outerShdw blurRad="63500" sx="102000" sy="102000" algn="ctr" rotWithShape="0">
                  <a:prstClr val="black">
                    <a:alpha val="40000"/>
                  </a:prstClr>
                </a:outerShdw>
              </a:effectLst>
            </c:spPr>
          </c:dPt>
          <c:dPt>
            <c:idx val="2"/>
            <c:bubble3D val="0"/>
            <c:spPr>
              <a:solidFill>
                <a:srgbClr val="7085C8"/>
              </a:solidFill>
              <a:ln>
                <a:noFill/>
              </a:ln>
              <a:effectLst>
                <a:outerShdw blurRad="63500" sx="102000" sy="102000" algn="ctr" rotWithShape="0">
                  <a:prstClr val="black">
                    <a:alpha val="40000"/>
                  </a:prstClr>
                </a:outerShdw>
              </a:effectLst>
            </c:spPr>
          </c:dPt>
          <c:dPt>
            <c:idx val="3"/>
            <c:bubble3D val="0"/>
            <c:spPr>
              <a:solidFill>
                <a:srgbClr val="384C91"/>
              </a:solidFill>
              <a:ln>
                <a:noFill/>
              </a:ln>
              <a:effectLst>
                <a:outerShdw blurRad="63500" sx="102000" sy="102000" algn="ctr" rotWithShape="0">
                  <a:prstClr val="black">
                    <a:alpha val="40000"/>
                  </a:prstClr>
                </a:outerShdw>
              </a:effectLst>
            </c:spPr>
          </c:dPt>
          <c:dLbls>
            <c:dLbl>
              <c:idx val="0"/>
              <c:layout>
                <c:manualLayout>
                  <c:x val="0.0364996260284218"/>
                  <c:y val="-0.25128482553421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700278283319665"/>
                  <c:y val="0.1777941022081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498583044764957"/>
                  <c:y val="-0.016639001814201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23955353917134"/>
                  <c:y val="0.012786395483768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w="9525" cap="flat" cmpd="sng" algn="ctr">
                <a:solidFill>
                  <a:prstClr val="black"/>
                </a:solidFill>
                <a:prstDash val="dash"/>
              </a:ln>
              <a:effectLst/>
              <a:sp3d>
                <a:extrusionClr>
                  <a:srgbClr val="FFFFFF"/>
                </a:extrusionClr>
                <a:contourClr>
                  <a:srgbClr val="FFFFFF"/>
                </a:contourClr>
              </a:sp3d>
            </c:spPr>
            <c:txPr>
              <a:bodyPr rot="0" spcFirstLastPara="0" vertOverflow="ellipsis" vert="horz" wrap="square" lIns="38100" tIns="19050" rIns="38100" bIns="19050" anchor="ctr" anchorCtr="1" forceAA="0"/>
              <a:lstStyle/>
              <a:p>
                <a:pPr>
                  <a:defRPr lang="zh-CN" sz="900" b="1" i="0" u="none" strike="noStrike" kern="1200" baseline="0">
                    <a:solidFill>
                      <a:schemeClr val="tx1"/>
                    </a:solidFill>
                    <a:latin typeface="+mn-lt"/>
                    <a:ea typeface="+mn-ea"/>
                    <a:cs typeface="+mn-cs"/>
                    <a:sym typeface="微软雅黑" panose="020B0503020204020204" charset="-122"/>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3684.06</c:v>
                </c:pt>
                <c:pt idx="1">
                  <c:v>399.81</c:v>
                </c:pt>
                <c:pt idx="2">
                  <c:v>140.72</c:v>
                </c:pt>
                <c:pt idx="3">
                  <c:v>173.65</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4b77e44e-33b6-470c-8f50-4c34a47a12eb}"/>
      </c:ext>
    </c:extLst>
  </c:chart>
  <c:spPr>
    <a:blipFill rotWithShape="1">
      <a:blip xmlns:r="http://schemas.openxmlformats.org/officeDocument/2006/relationships" r:embed="rId2"/>
      <a:stretch>
        <a:fillRect/>
      </a:stretch>
    </a:blipFill>
    <a:ln w="9525"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466791393826"/>
          <c:y val="0.186425541415495"/>
          <c:w val="0.424295068822665"/>
          <c:h val="0.708863585621791"/>
        </c:manualLayout>
      </c:layout>
      <c:pieChart>
        <c:varyColors val="1"/>
        <c:ser>
          <c:idx val="0"/>
          <c:order val="0"/>
          <c:tx>
            <c:strRef>
              <c:f>Sheet1!$B$1</c:f>
              <c:strCache>
                <c:ptCount val="1"/>
                <c:pt idx="0">
                  <c:v>因公出国（境）费支出</c:v>
                </c:pt>
              </c:strCache>
            </c:strRef>
          </c:tx>
          <c:spPr>
            <a:solidFill>
              <a:srgbClr val="384C91"/>
            </a:solidFill>
            <a:effectLst>
              <a:outerShdw blurRad="63500" sx="102000" sy="102000" algn="ctr" rotWithShape="0">
                <a:prstClr val="black">
                  <a:alpha val="40000"/>
                </a:prstClr>
              </a:outerShdw>
            </a:effectLst>
          </c:spPr>
          <c:explosion val="8"/>
          <c:dPt>
            <c:idx val="0"/>
            <c:bubble3D val="0"/>
            <c:spPr>
              <a:solidFill>
                <a:srgbClr val="ECC6B8"/>
              </a:solidFill>
              <a:ln>
                <a:noFill/>
              </a:ln>
              <a:effectLst>
                <a:outerShdw blurRad="63500" sx="102000" sy="102000" algn="ctr" rotWithShape="0">
                  <a:prstClr val="black">
                    <a:alpha val="40000"/>
                  </a:prstClr>
                </a:outerShdw>
              </a:effectLst>
            </c:spPr>
          </c:dPt>
          <c:dPt>
            <c:idx val="1"/>
            <c:bubble3D val="0"/>
            <c:spPr>
              <a:solidFill>
                <a:srgbClr val="B41D1E"/>
              </a:solidFill>
              <a:ln>
                <a:noFill/>
              </a:ln>
              <a:effectLst>
                <a:outerShdw blurRad="63500" sx="102000" sy="102000" algn="ctr" rotWithShape="0">
                  <a:prstClr val="black">
                    <a:alpha val="40000"/>
                  </a:prstClr>
                </a:outerShdw>
              </a:effectLst>
            </c:spPr>
          </c:dPt>
          <c:dPt>
            <c:idx val="2"/>
            <c:bubble3D val="0"/>
            <c:spPr>
              <a:solidFill>
                <a:srgbClr val="7085C8"/>
              </a:solidFill>
              <a:ln>
                <a:noFill/>
              </a:ln>
              <a:effectLst>
                <a:outerShdw blurRad="63500" sx="102000" sy="102000" algn="ctr" rotWithShape="0">
                  <a:prstClr val="black">
                    <a:alpha val="40000"/>
                  </a:prstClr>
                </a:outerShdw>
              </a:effectLst>
            </c:spPr>
          </c:dPt>
          <c:dPt>
            <c:idx val="3"/>
            <c:bubble3D val="0"/>
            <c:spPr>
              <a:solidFill>
                <a:srgbClr val="384C91"/>
              </a:solidFill>
              <a:ln>
                <a:noFill/>
              </a:ln>
              <a:effectLst>
                <a:outerShdw blurRad="63500" sx="102000" sy="102000" algn="ctr" rotWithShape="0">
                  <a:prstClr val="black">
                    <a:alpha val="40000"/>
                  </a:prstClr>
                </a:outerShdw>
              </a:effectLst>
            </c:spPr>
          </c:dPt>
          <c:dLbls>
            <c:dLbl>
              <c:idx val="0"/>
              <c:layout>
                <c:manualLayout>
                  <c:x val="0.178545542401546"/>
                  <c:y val="0.028474288142796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70451799951679"/>
                  <c:y val="-0.049511262218444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62349602180289"/>
                  <c:y val="0.076300813339442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w="9525" cap="flat" cmpd="sng" algn="ctr">
                <a:solidFill>
                  <a:schemeClr val="accent1"/>
                </a:solidFill>
                <a:prstDash val="dash"/>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tx1"/>
                    </a:solidFill>
                    <a:latin typeface="+mn-lt"/>
                    <a:ea typeface="+mn-ea"/>
                    <a:cs typeface="+mn-cs"/>
                    <a:sym typeface="微软雅黑" panose="020B0503020204020204" charset="-122"/>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因公出国（境）费支出</c:v>
                </c:pt>
                <c:pt idx="1">
                  <c:v>公务用车购置及运行维护费支出</c:v>
                </c:pt>
                <c:pt idx="2">
                  <c:v>公务接待费支出</c:v>
                </c:pt>
              </c:strCache>
            </c:strRef>
          </c:cat>
          <c:val>
            <c:numRef>
              <c:f>Sheet1!$B$2:$B$5</c:f>
              <c:numCache>
                <c:formatCode>General</c:formatCode>
                <c:ptCount val="4"/>
                <c:pt idx="0">
                  <c:v>0</c:v>
                </c:pt>
                <c:pt idx="1">
                  <c:v>23.16</c:v>
                </c:pt>
                <c:pt idx="2">
                  <c:v>2.41</c:v>
                </c:pt>
              </c:numCache>
            </c:numRef>
          </c:val>
        </c:ser>
        <c:ser>
          <c:idx val="1"/>
          <c:order val="1"/>
          <c:tx>
            <c:strRef>
              <c:f>Sheet1!$C$1</c:f>
              <c:strCache>
                <c:ptCount val="1"/>
                <c:pt idx="0">
                  <c:v>公务用车购置及运行维护费支出</c:v>
                </c:pt>
              </c:strCache>
            </c:strRef>
          </c:tx>
          <c:spPr>
            <a:solidFill>
              <a:srgbClr val="384C91"/>
            </a:solidFill>
            <a:effectLst>
              <a:outerShdw blurRad="63500" sx="102000" sy="102000" algn="ctr" rotWithShape="0">
                <a:prstClr val="black">
                  <a:alpha val="40000"/>
                </a:prstClr>
              </a:outerShdw>
            </a:effectLst>
          </c:spPr>
          <c:explosion val="8"/>
          <c:dPt>
            <c:idx val="0"/>
            <c:bubble3D val="0"/>
            <c:spPr>
              <a:solidFill>
                <a:srgbClr val="ECC6B8"/>
              </a:solidFill>
              <a:ln>
                <a:noFill/>
              </a:ln>
              <a:effectLst>
                <a:outerShdw blurRad="63500" sx="102000" sy="102000" algn="ctr" rotWithShape="0">
                  <a:prstClr val="black">
                    <a:alpha val="40000"/>
                  </a:prstClr>
                </a:outerShdw>
              </a:effectLst>
            </c:spPr>
          </c:dPt>
          <c:dPt>
            <c:idx val="1"/>
            <c:bubble3D val="0"/>
            <c:spPr>
              <a:solidFill>
                <a:srgbClr val="B41D1E"/>
              </a:solidFill>
              <a:ln>
                <a:noFill/>
              </a:ln>
              <a:effectLst>
                <a:outerShdw blurRad="63500" sx="102000" sy="102000" algn="ctr" rotWithShape="0">
                  <a:prstClr val="black">
                    <a:alpha val="40000"/>
                  </a:prstClr>
                </a:outerShdw>
              </a:effectLst>
            </c:spPr>
          </c:dPt>
          <c:dPt>
            <c:idx val="2"/>
            <c:bubble3D val="0"/>
            <c:spPr>
              <a:solidFill>
                <a:srgbClr val="7085C8"/>
              </a:solidFill>
              <a:ln>
                <a:noFill/>
              </a:ln>
              <a:effectLst>
                <a:outerShdw blurRad="63500" sx="102000" sy="102000" algn="ctr" rotWithShape="0">
                  <a:prstClr val="black">
                    <a:alpha val="40000"/>
                  </a:prstClr>
                </a:outerShdw>
              </a:effectLst>
            </c:spPr>
          </c:dPt>
          <c:dPt>
            <c:idx val="3"/>
            <c:bubble3D val="0"/>
            <c:spPr>
              <a:solidFill>
                <a:srgbClr val="384C91"/>
              </a:solidFill>
              <a:ln>
                <a:noFill/>
              </a:ln>
              <a:effectLst>
                <a:outerShdw blurRad="63500" sx="102000" sy="102000" algn="ctr"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因公出国（境）费支出</c:v>
                </c:pt>
                <c:pt idx="1">
                  <c:v>公务用车购置及运行维护费支出</c:v>
                </c:pt>
                <c:pt idx="2">
                  <c:v>公务接待费支出</c:v>
                </c:pt>
              </c:strCache>
            </c:strRef>
          </c:cat>
          <c:val>
            <c:numRef>
              <c:f>Sheet1!$C$2:$C$5</c:f>
              <c:numCache>
                <c:formatCode>General</c:formatCode>
                <c:ptCount val="4"/>
              </c:numCache>
            </c:numRef>
          </c:val>
        </c:ser>
        <c:ser>
          <c:idx val="2"/>
          <c:order val="2"/>
          <c:tx>
            <c:strRef>
              <c:f>Sheet1!$D$1</c:f>
              <c:strCache>
                <c:ptCount val="1"/>
                <c:pt idx="0">
                  <c:v>公务接待费支出</c:v>
                </c:pt>
              </c:strCache>
            </c:strRef>
          </c:tx>
          <c:spPr>
            <a:solidFill>
              <a:srgbClr val="384C91"/>
            </a:solidFill>
            <a:effectLst>
              <a:outerShdw blurRad="63500" sx="102000" sy="102000" algn="ctr" rotWithShape="0">
                <a:prstClr val="black">
                  <a:alpha val="40000"/>
                </a:prstClr>
              </a:outerShdw>
            </a:effectLst>
          </c:spPr>
          <c:explosion val="8"/>
          <c:dPt>
            <c:idx val="0"/>
            <c:bubble3D val="0"/>
            <c:spPr>
              <a:solidFill>
                <a:srgbClr val="ECC6B8"/>
              </a:solidFill>
              <a:ln>
                <a:noFill/>
              </a:ln>
              <a:effectLst>
                <a:outerShdw blurRad="63500" sx="102000" sy="102000" algn="ctr" rotWithShape="0">
                  <a:prstClr val="black">
                    <a:alpha val="40000"/>
                  </a:prstClr>
                </a:outerShdw>
              </a:effectLst>
            </c:spPr>
          </c:dPt>
          <c:dPt>
            <c:idx val="1"/>
            <c:bubble3D val="0"/>
            <c:spPr>
              <a:solidFill>
                <a:srgbClr val="B41D1E"/>
              </a:solidFill>
              <a:ln>
                <a:noFill/>
              </a:ln>
              <a:effectLst>
                <a:outerShdw blurRad="63500" sx="102000" sy="102000" algn="ctr" rotWithShape="0">
                  <a:prstClr val="black">
                    <a:alpha val="40000"/>
                  </a:prstClr>
                </a:outerShdw>
              </a:effectLst>
            </c:spPr>
          </c:dPt>
          <c:dPt>
            <c:idx val="2"/>
            <c:bubble3D val="0"/>
            <c:spPr>
              <a:solidFill>
                <a:srgbClr val="7085C8"/>
              </a:solidFill>
              <a:ln>
                <a:noFill/>
              </a:ln>
              <a:effectLst>
                <a:outerShdw blurRad="63500" sx="102000" sy="102000" algn="ctr" rotWithShape="0">
                  <a:prstClr val="black">
                    <a:alpha val="40000"/>
                  </a:prstClr>
                </a:outerShdw>
              </a:effectLst>
            </c:spPr>
          </c:dPt>
          <c:dPt>
            <c:idx val="3"/>
            <c:bubble3D val="0"/>
            <c:spPr>
              <a:solidFill>
                <a:srgbClr val="384C91"/>
              </a:solidFill>
              <a:ln>
                <a:noFill/>
              </a:ln>
              <a:effectLst>
                <a:outerShdw blurRad="63500" sx="102000" sy="102000" algn="ctr" rotWithShape="0">
                  <a:prstClr val="black">
                    <a:alpha val="40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因公出国（境）费支出</c:v>
                </c:pt>
                <c:pt idx="1">
                  <c:v>公务用车购置及运行维护费支出</c:v>
                </c:pt>
                <c:pt idx="2">
                  <c:v>公务接待费支出</c:v>
                </c:pt>
              </c:strCache>
            </c:strRef>
          </c:cat>
          <c:val>
            <c:numRef>
              <c:f>Sheet1!$D$2:$D$5</c:f>
              <c:numCache>
                <c:formatCode>General</c:formatCode>
                <c:ptCount val="4"/>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9ecfc05e-7faf-4718-92b4-4e860187f219}"/>
      </c:ext>
    </c:extLst>
  </c:chart>
  <c:spPr>
    <a:blipFill rotWithShape="1">
      <a:blip xmlns:r="http://schemas.openxmlformats.org/officeDocument/2006/relationships" r:embed="rId2"/>
      <a:stretch>
        <a:fillRect/>
      </a:stretch>
    </a:blipFill>
    <a:ln w="9525" cap="flat" cmpd="sng" algn="ctr">
      <a:no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9848</Words>
  <Characters>10610</Characters>
  <Lines>61</Lines>
  <Paragraphs>17</Paragraphs>
  <TotalTime>0</TotalTime>
  <ScaleCrop>false</ScaleCrop>
  <LinksUpToDate>false</LinksUpToDate>
  <CharactersWithSpaces>10728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栈言</cp:lastModifiedBy>
  <cp:lastPrinted>2025-09-08T03:14:00Z</cp:lastPrinted>
  <dcterms:modified xsi:type="dcterms:W3CDTF">2025-09-10T00:29:17Z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eyJoZGlkIjoiNGMzNDU0NDg2N2E1NjdiOTFjZTdmNTg3ZDc2YzE2NTEiLCJ1c2VySWQiOiI0NDg5Mjc5ODEifQ==</vt:lpwstr>
  </property>
</Properties>
</file>