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9"/>
        <w:rPr>
          <w:rFonts w:ascii="方正小标宋简体" w:hAnsi="宋体" w:eastAsia="方正小标宋简体"/>
          <w:szCs w:val="21"/>
        </w:rPr>
      </w:pPr>
      <w:bookmarkStart w:id="0" w:name="_Toc15306267"/>
    </w:p>
    <w:p>
      <w:pPr>
        <w:pStyle w:val="7"/>
        <w:spacing w:before="93"/>
      </w:pPr>
    </w:p>
    <w:p>
      <w:pPr>
        <w:spacing w:line="600" w:lineRule="exact"/>
        <w:jc w:val="center"/>
        <w:outlineLvl w:val="9"/>
        <w:rPr>
          <w:rFonts w:ascii="方正小标宋简体" w:hAnsi="宋体" w:eastAsia="方正小标宋简体"/>
          <w:sz w:val="72"/>
          <w:szCs w:val="72"/>
        </w:rPr>
      </w:pPr>
    </w:p>
    <w:p>
      <w:pPr>
        <w:spacing w:line="600" w:lineRule="exact"/>
        <w:jc w:val="center"/>
        <w:outlineLvl w:val="9"/>
        <w:rPr>
          <w:rFonts w:ascii="方正小标宋简体" w:hAnsi="宋体" w:eastAsia="方正小标宋简体"/>
          <w:sz w:val="72"/>
          <w:szCs w:val="72"/>
        </w:rPr>
      </w:pPr>
    </w:p>
    <w:p>
      <w:pPr>
        <w:adjustRightInd w:val="0"/>
        <w:snapToGrid w:val="0"/>
        <w:spacing w:line="360" w:lineRule="auto"/>
        <w:jc w:val="center"/>
        <w:outlineLvl w:val="9"/>
        <w:rPr>
          <w:rFonts w:ascii="方正小标宋简体" w:hAnsi="方正小标宋简体" w:eastAsia="方正小标宋简体" w:cs="方正小标宋简体"/>
          <w:sz w:val="72"/>
          <w:szCs w:val="72"/>
        </w:rPr>
      </w:pPr>
      <w:bookmarkStart w:id="1" w:name="_Toc15396475"/>
      <w:bookmarkStart w:id="2" w:name="_Toc15377193"/>
      <w:bookmarkStart w:id="3" w:name="_Toc15377425"/>
      <w:bookmarkStart w:id="4" w:name="_Toc15378441"/>
      <w:bookmarkStart w:id="5" w:name="_Toc15396597"/>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bookmarkEnd w:id="0"/>
    <w:p>
      <w:pPr>
        <w:adjustRightInd w:val="0"/>
        <w:snapToGrid w:val="0"/>
        <w:spacing w:line="360" w:lineRule="auto"/>
        <w:jc w:val="center"/>
        <w:rPr>
          <w:rFonts w:ascii="方正小标宋简体" w:hAnsi="方正小标宋简体" w:eastAsia="方正小标宋简体" w:cs="方正小标宋简体"/>
          <w:sz w:val="72"/>
          <w:szCs w:val="72"/>
        </w:rPr>
      </w:pPr>
      <w:bookmarkStart w:id="6" w:name="_Toc7220"/>
      <w:bookmarkStart w:id="7" w:name="_Toc15377426"/>
      <w:bookmarkStart w:id="8" w:name="_Toc15378442"/>
      <w:bookmarkStart w:id="9" w:name="_Toc15396598"/>
      <w:bookmarkStart w:id="10" w:name="_Toc15377194"/>
      <w:bookmarkStart w:id="11" w:name="_Toc15396476"/>
      <w:r>
        <w:rPr>
          <w:rFonts w:hint="eastAsia" w:ascii="方正小标宋简体" w:hAnsi="方正小标宋简体" w:eastAsia="方正小标宋简体" w:cs="方正小标宋简体"/>
          <w:sz w:val="72"/>
          <w:szCs w:val="72"/>
        </w:rPr>
        <w:t>攀枝花市</w:t>
      </w:r>
      <w:bookmarkStart w:id="12" w:name="_Toc15306268"/>
      <w:r>
        <w:rPr>
          <w:rFonts w:hint="eastAsia" w:ascii="方正小标宋简体" w:hAnsi="方正小标宋简体" w:eastAsia="方正小标宋简体" w:cs="方正小标宋简体"/>
          <w:sz w:val="72"/>
          <w:szCs w:val="72"/>
        </w:rPr>
        <w:t>纪检监察</w:t>
      </w:r>
      <w:bookmarkEnd w:id="6"/>
    </w:p>
    <w:p>
      <w:pPr>
        <w:adjustRightInd w:val="0"/>
        <w:snapToGrid w:val="0"/>
        <w:spacing w:line="360" w:lineRule="auto"/>
        <w:jc w:val="center"/>
        <w:rPr>
          <w:rFonts w:ascii="方正小标宋简体" w:hAnsi="方正小标宋简体" w:eastAsia="方正小标宋简体" w:cs="方正小标宋简体"/>
          <w:sz w:val="72"/>
          <w:szCs w:val="72"/>
        </w:rPr>
      </w:pPr>
      <w:bookmarkStart w:id="13" w:name="_Toc12648"/>
      <w:r>
        <w:rPr>
          <w:rFonts w:hint="eastAsia" w:ascii="方正小标宋简体" w:hAnsi="方正小标宋简体" w:eastAsia="方正小标宋简体" w:cs="方正小标宋简体"/>
          <w:sz w:val="72"/>
          <w:szCs w:val="72"/>
        </w:rPr>
        <w:t>教育培训与信息中心</w:t>
      </w:r>
      <w:bookmarkEnd w:id="13"/>
    </w:p>
    <w:p>
      <w:pPr>
        <w:adjustRightInd w:val="0"/>
        <w:snapToGrid w:val="0"/>
        <w:spacing w:line="360" w:lineRule="auto"/>
        <w:jc w:val="center"/>
        <w:rPr>
          <w:rFonts w:ascii="方正小标宋简体" w:hAnsi="方正小标宋简体" w:eastAsia="方正小标宋简体" w:cs="方正小标宋简体"/>
          <w:sz w:val="72"/>
          <w:szCs w:val="72"/>
        </w:rPr>
      </w:pPr>
      <w:bookmarkStart w:id="14" w:name="_Toc30241"/>
      <w:r>
        <w:rPr>
          <w:rFonts w:hint="eastAsia" w:ascii="方正小标宋简体" w:hAnsi="方正小标宋简体" w:eastAsia="方正小标宋简体" w:cs="方正小标宋简体"/>
          <w:sz w:val="72"/>
          <w:szCs w:val="72"/>
        </w:rPr>
        <w:t>单位决算</w:t>
      </w:r>
      <w:bookmarkEnd w:id="7"/>
      <w:bookmarkEnd w:id="8"/>
      <w:bookmarkEnd w:id="9"/>
      <w:bookmarkEnd w:id="10"/>
      <w:bookmarkEnd w:id="11"/>
      <w:bookmarkEnd w:id="12"/>
      <w:bookmarkEnd w:id="14"/>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3"/>
      </w:pPr>
      <w:r>
        <w:rPr>
          <w:rFonts w:hint="eastAsia"/>
        </w:rPr>
        <w:t>公开时间：202</w:t>
      </w:r>
      <w:r>
        <w:rPr>
          <w:rFonts w:hint="eastAsia"/>
          <w:lang w:val="en-US" w:eastAsia="zh-CN"/>
        </w:rPr>
        <w:t>4</w:t>
      </w:r>
      <w:r>
        <w:rPr>
          <w:rFonts w:hint="eastAsia"/>
        </w:rPr>
        <w:t>年9月</w:t>
      </w:r>
      <w:r>
        <w:rPr>
          <w:rFonts w:hint="eastAsia"/>
          <w:lang w:val="en-US" w:eastAsia="zh-CN"/>
        </w:rPr>
        <w:t>20</w:t>
      </w:r>
      <w:r>
        <w:rPr>
          <w:rFonts w:hint="eastAsia"/>
        </w:rPr>
        <w:t>日</w:t>
      </w:r>
    </w:p>
    <w:sdt>
      <w:sdtPr>
        <w:rPr>
          <w:rFonts w:ascii="宋体" w:hAnsi="宋体" w:eastAsia="宋体" w:cs="Times New Roman"/>
          <w:kern w:val="2"/>
          <w:sz w:val="21"/>
          <w:szCs w:val="24"/>
          <w:lang w:val="en-US" w:eastAsia="zh-CN" w:bidi="ar-SA"/>
        </w:rPr>
        <w:id w:val="147481574"/>
        <w15:color w:val="DBDBDB"/>
        <w:docPartObj>
          <w:docPartGallery w:val="Table of Contents"/>
          <w:docPartUnique/>
        </w:docPartObj>
      </w:sdtPr>
      <w:sdtEndPr>
        <w:rPr>
          <w:rFonts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lang w:val="en-US" w:eastAsia="zh-CN"/>
            </w:rPr>
            <w:t xml:space="preserve">  </w:t>
          </w:r>
          <w:r>
            <w:fldChar w:fldCharType="begin"/>
          </w:r>
          <w:r>
            <w:instrText xml:space="preserve">TOC \o "1-3" \h \u </w:instrText>
          </w:r>
          <w:r>
            <w:fldChar w:fldCharType="separate"/>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_Toc23598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第一部分 单位</w:t>
          </w:r>
          <w:r>
            <w:rPr>
              <w:rFonts w:hint="default" w:ascii="Times New Roman" w:hAnsi="Times New Roman" w:eastAsia="黑体" w:cs="Times New Roman"/>
              <w:bCs w:val="0"/>
              <w:sz w:val="33"/>
              <w:szCs w:val="33"/>
            </w:rPr>
            <w:t>概况</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_Toc23598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4</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_Toc15615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bCs w:val="0"/>
              <w:sz w:val="33"/>
              <w:szCs w:val="33"/>
            </w:rPr>
            <w:t>一、主要职责</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_Toc15615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_Toc907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二、机构设置</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_Toc907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_Toc7836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第二部分 2023年度</w:t>
          </w:r>
          <w:r>
            <w:rPr>
              <w:rFonts w:hint="default" w:ascii="Times New Roman" w:hAnsi="Times New Roman" w:eastAsia="黑体" w:cs="Times New Roman"/>
              <w:bCs/>
              <w:sz w:val="33"/>
              <w:szCs w:val="33"/>
            </w:rPr>
            <w:t>单位决算情况说明</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_Toc7836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5</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_Toc17470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一、收入支出决算总体情况说明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_Toc17470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_Toc26124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二、收入决算情况说明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_Toc26124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_Toc8951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三、支出决算情况说明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_Toc8951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_Toc13800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四、财政拨款收入支出决算总体情况说明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_Toc13800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_Toc19947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五、一般公共预算财政拨款支出决算情况说明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_Toc19947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7</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_Toc18829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六、一般公共预算财政拨款基本支出决算情况说明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_Toc18829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9</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_Toc10525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七、财政拨款“三公”经费支出决算情况说明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_Toc10525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10</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_Toc31417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八、政府性基金预算支出决算情况说明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_Toc31417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12</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_Toc15852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九、国有资本经营预算支出决算情况说明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_Toc15852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12</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_Toc29038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十、其他重要事项的情况说明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_Toc29038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12</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_Toc12299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第三部分 名词解释</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_Toc12299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14</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_Toc14200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第四部分 附件</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_Toc14200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16</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3"/>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eastAsia" w:ascii="Times New Roman" w:hAnsi="Times New Roman" w:cs="Times New Roman"/>
              <w:sz w:val="33"/>
              <w:szCs w:val="33"/>
              <w:lang w:val="en-US" w:eastAsia="zh-CN"/>
            </w:rPr>
            <w:t xml:space="preserve">  </w:t>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_Toc11093 </w:instrText>
          </w:r>
          <w:r>
            <w:rPr>
              <w:rFonts w:hint="default" w:ascii="Times New Roman" w:hAnsi="Times New Roman" w:cs="Times New Roman"/>
              <w:sz w:val="33"/>
              <w:szCs w:val="33"/>
            </w:rPr>
            <w:fldChar w:fldCharType="separate"/>
          </w:r>
          <w:r>
            <w:rPr>
              <w:rFonts w:hint="default" w:ascii="Times New Roman" w:hAnsi="Times New Roman" w:eastAsia="黑体" w:cs="Times New Roman"/>
              <w:sz w:val="33"/>
              <w:szCs w:val="33"/>
            </w:rPr>
            <w:t>第五部分 附表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_Toc11093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_Toc30084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sz w:val="33"/>
              <w:szCs w:val="33"/>
            </w:rPr>
            <w:t>一、收</w:t>
          </w:r>
          <w:r>
            <w:rPr>
              <w:rFonts w:hint="default" w:ascii="Times New Roman" w:hAnsi="Times New Roman" w:eastAsia="方正仿宋_GBK" w:cs="Times New Roman"/>
              <w:bCs w:val="0"/>
              <w:sz w:val="33"/>
              <w:szCs w:val="33"/>
            </w:rPr>
            <w:t>入支出决算总表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_Toc30084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_Toc6421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sz w:val="33"/>
              <w:szCs w:val="33"/>
            </w:rPr>
            <w:t>二、收</w:t>
          </w:r>
          <w:r>
            <w:rPr>
              <w:rFonts w:hint="default" w:ascii="Times New Roman" w:hAnsi="Times New Roman" w:eastAsia="方正仿宋_GBK" w:cs="Times New Roman"/>
              <w:bCs w:val="0"/>
              <w:sz w:val="33"/>
              <w:szCs w:val="33"/>
            </w:rPr>
            <w:t>入决算表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_Toc6421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_Toc3511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三、</w:t>
          </w:r>
          <w:r>
            <w:rPr>
              <w:rFonts w:hint="default" w:ascii="Times New Roman" w:hAnsi="Times New Roman" w:eastAsia="方正仿宋_GBK" w:cs="Times New Roman"/>
              <w:sz w:val="33"/>
              <w:szCs w:val="33"/>
            </w:rPr>
            <w:t>支</w:t>
          </w:r>
          <w:r>
            <w:rPr>
              <w:rFonts w:hint="default" w:ascii="Times New Roman" w:hAnsi="Times New Roman" w:eastAsia="方正仿宋_GBK" w:cs="Times New Roman"/>
              <w:bCs w:val="0"/>
              <w:sz w:val="33"/>
              <w:szCs w:val="33"/>
            </w:rPr>
            <w:t>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_Toc3511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_Toc8380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四、</w:t>
          </w:r>
          <w:r>
            <w:rPr>
              <w:rFonts w:hint="default" w:ascii="Times New Roman" w:hAnsi="Times New Roman" w:eastAsia="方正仿宋_GBK" w:cs="Times New Roman"/>
              <w:sz w:val="33"/>
              <w:szCs w:val="33"/>
            </w:rPr>
            <w:t>财</w:t>
          </w:r>
          <w:r>
            <w:rPr>
              <w:rFonts w:hint="default" w:ascii="Times New Roman" w:hAnsi="Times New Roman" w:eastAsia="方正仿宋_GBK" w:cs="Times New Roman"/>
              <w:bCs w:val="0"/>
              <w:sz w:val="33"/>
              <w:szCs w:val="33"/>
            </w:rPr>
            <w:t>政拨款收入支出决算总表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_Toc8380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_Toc10270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五、</w:t>
          </w:r>
          <w:r>
            <w:rPr>
              <w:rFonts w:hint="default" w:ascii="Times New Roman" w:hAnsi="Times New Roman" w:eastAsia="方正仿宋_GBK" w:cs="Times New Roman"/>
              <w:sz w:val="33"/>
              <w:szCs w:val="33"/>
            </w:rPr>
            <w:t>财</w:t>
          </w:r>
          <w:r>
            <w:rPr>
              <w:rFonts w:hint="default" w:ascii="Times New Roman" w:hAnsi="Times New Roman" w:eastAsia="方正仿宋_GBK" w:cs="Times New Roman"/>
              <w:bCs w:val="0"/>
              <w:sz w:val="33"/>
              <w:szCs w:val="33"/>
            </w:rPr>
            <w:t>政拨款支出决算明细表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_Toc10270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_Toc22299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六、</w:t>
          </w:r>
          <w:r>
            <w:rPr>
              <w:rFonts w:hint="default" w:ascii="Times New Roman" w:hAnsi="Times New Roman" w:eastAsia="方正仿宋_GBK" w:cs="Times New Roman"/>
              <w:sz w:val="33"/>
              <w:szCs w:val="33"/>
            </w:rPr>
            <w:t>一</w:t>
          </w:r>
          <w:r>
            <w:rPr>
              <w:rFonts w:hint="default" w:ascii="Times New Roman" w:hAnsi="Times New Roman" w:eastAsia="方正仿宋_GBK" w:cs="Times New Roman"/>
              <w:bCs w:val="0"/>
              <w:sz w:val="33"/>
              <w:szCs w:val="33"/>
            </w:rPr>
            <w:t>般公共预算财政拨款支出决算表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_Toc22299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_Toc10090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七、</w:t>
          </w:r>
          <w:r>
            <w:rPr>
              <w:rFonts w:hint="default" w:ascii="Times New Roman" w:hAnsi="Times New Roman" w:eastAsia="方正仿宋_GBK" w:cs="Times New Roman"/>
              <w:sz w:val="33"/>
              <w:szCs w:val="33"/>
            </w:rPr>
            <w:t>一</w:t>
          </w:r>
          <w:r>
            <w:rPr>
              <w:rFonts w:hint="default" w:ascii="Times New Roman" w:hAnsi="Times New Roman" w:eastAsia="方正仿宋_GBK" w:cs="Times New Roman"/>
              <w:bCs w:val="0"/>
              <w:sz w:val="33"/>
              <w:szCs w:val="33"/>
            </w:rPr>
            <w:t>般公共预算财政拨款支出决算明细表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_Toc10090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_Toc22682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八、</w:t>
          </w:r>
          <w:r>
            <w:rPr>
              <w:rFonts w:hint="default" w:ascii="Times New Roman" w:hAnsi="Times New Roman" w:eastAsia="方正仿宋_GBK" w:cs="Times New Roman"/>
              <w:sz w:val="33"/>
              <w:szCs w:val="33"/>
            </w:rPr>
            <w:t>一</w:t>
          </w:r>
          <w:r>
            <w:rPr>
              <w:rFonts w:hint="default" w:ascii="Times New Roman" w:hAnsi="Times New Roman" w:eastAsia="方正仿宋_GBK" w:cs="Times New Roman"/>
              <w:bCs w:val="0"/>
              <w:sz w:val="33"/>
              <w:szCs w:val="33"/>
            </w:rPr>
            <w:t>般公共预算财政拨款基本支出决算表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_Toc22682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_Toc28893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九、</w:t>
          </w:r>
          <w:r>
            <w:rPr>
              <w:rFonts w:hint="default" w:ascii="Times New Roman" w:hAnsi="Times New Roman" w:eastAsia="方正仿宋_GBK" w:cs="Times New Roman"/>
              <w:sz w:val="33"/>
              <w:szCs w:val="33"/>
            </w:rPr>
            <w:t>一</w:t>
          </w:r>
          <w:r>
            <w:rPr>
              <w:rFonts w:hint="default" w:ascii="Times New Roman" w:hAnsi="Times New Roman" w:eastAsia="方正仿宋_GBK" w:cs="Times New Roman"/>
              <w:bCs w:val="0"/>
              <w:sz w:val="33"/>
              <w:szCs w:val="33"/>
            </w:rPr>
            <w:t>般公共预算财政拨款项目支出决算表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_Toc28893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_Toc11786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十、</w:t>
          </w:r>
          <w:r>
            <w:rPr>
              <w:rFonts w:hint="default" w:ascii="Times New Roman" w:hAnsi="Times New Roman" w:eastAsia="方正仿宋_GBK" w:cs="Times New Roman"/>
              <w:sz w:val="33"/>
              <w:szCs w:val="33"/>
            </w:rPr>
            <w:t>政</w:t>
          </w:r>
          <w:r>
            <w:rPr>
              <w:rFonts w:hint="default" w:ascii="Times New Roman" w:hAnsi="Times New Roman" w:eastAsia="方正仿宋_GBK" w:cs="Times New Roman"/>
              <w:bCs w:val="0"/>
              <w:sz w:val="33"/>
              <w:szCs w:val="33"/>
            </w:rPr>
            <w:t>府性基金预算财政拨款收入支出决算表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_Toc11786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_Toc2132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十一、</w:t>
          </w:r>
          <w:r>
            <w:rPr>
              <w:rFonts w:hint="default" w:ascii="Times New Roman" w:hAnsi="Times New Roman" w:eastAsia="方正仿宋_GBK" w:cs="Times New Roman"/>
              <w:sz w:val="33"/>
              <w:szCs w:val="33"/>
            </w:rPr>
            <w:t>国</w:t>
          </w:r>
          <w:r>
            <w:rPr>
              <w:rFonts w:hint="default" w:ascii="Times New Roman" w:hAnsi="Times New Roman" w:eastAsia="方正仿宋_GBK" w:cs="Times New Roman"/>
              <w:bCs w:val="0"/>
              <w:sz w:val="33"/>
              <w:szCs w:val="33"/>
            </w:rPr>
            <w:t>有资本经营预算财政拨款收入支出决算表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_Toc2132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rPr>
              <w:rFonts w:hint="default" w:ascii="Times New Roman" w:hAnsi="Times New Roman" w:cs="Times New Roman"/>
              <w:sz w:val="33"/>
              <w:szCs w:val="33"/>
            </w:rPr>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_Toc6389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十二、国有资本经营预算财政拨款支出决算表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_Toc6389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pPr>
            <w:pStyle w:val="14"/>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576" w:lineRule="exact"/>
            <w:textAlignment w:val="auto"/>
          </w:pP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HYPERLINK \l _Toc18886 </w:instrText>
          </w:r>
          <w:r>
            <w:rPr>
              <w:rFonts w:hint="default" w:ascii="Times New Roman" w:hAnsi="Times New Roman" w:cs="Times New Roman"/>
              <w:sz w:val="33"/>
              <w:szCs w:val="33"/>
            </w:rPr>
            <w:fldChar w:fldCharType="separate"/>
          </w:r>
          <w:r>
            <w:rPr>
              <w:rFonts w:hint="default" w:ascii="Times New Roman" w:hAnsi="Times New Roman" w:eastAsia="方正仿宋_GBK" w:cs="Times New Roman"/>
              <w:bCs w:val="0"/>
              <w:sz w:val="33"/>
              <w:szCs w:val="33"/>
            </w:rPr>
            <w:t>十三、财政拨款“三公”经费支出决算表</w:t>
          </w:r>
          <w:r>
            <w:rPr>
              <w:rFonts w:hint="default" w:ascii="Times New Roman" w:hAnsi="Times New Roman" w:cs="Times New Roman"/>
              <w:sz w:val="33"/>
              <w:szCs w:val="33"/>
            </w:rPr>
            <w:tab/>
          </w:r>
          <w:r>
            <w:rPr>
              <w:rFonts w:hint="default" w:ascii="Times New Roman" w:hAnsi="Times New Roman" w:cs="Times New Roman"/>
              <w:sz w:val="33"/>
              <w:szCs w:val="33"/>
            </w:rPr>
            <w:fldChar w:fldCharType="begin"/>
          </w:r>
          <w:r>
            <w:rPr>
              <w:rFonts w:hint="default" w:ascii="Times New Roman" w:hAnsi="Times New Roman" w:cs="Times New Roman"/>
              <w:sz w:val="33"/>
              <w:szCs w:val="33"/>
            </w:rPr>
            <w:instrText xml:space="preserve"> PAGEREF _Toc18886 \h </w:instrText>
          </w:r>
          <w:r>
            <w:rPr>
              <w:rFonts w:hint="default" w:ascii="Times New Roman" w:hAnsi="Times New Roman" w:cs="Times New Roman"/>
              <w:sz w:val="33"/>
              <w:szCs w:val="33"/>
            </w:rPr>
            <w:fldChar w:fldCharType="separate"/>
          </w:r>
          <w:r>
            <w:rPr>
              <w:rFonts w:hint="default" w:ascii="Times New Roman" w:hAnsi="Times New Roman" w:cs="Times New Roman"/>
              <w:sz w:val="33"/>
              <w:szCs w:val="33"/>
            </w:rPr>
            <w:t>17</w:t>
          </w:r>
          <w:r>
            <w:rPr>
              <w:rFonts w:hint="default" w:ascii="Times New Roman" w:hAnsi="Times New Roman" w:cs="Times New Roman"/>
              <w:sz w:val="33"/>
              <w:szCs w:val="33"/>
            </w:rPr>
            <w:fldChar w:fldCharType="end"/>
          </w:r>
          <w:r>
            <w:rPr>
              <w:rFonts w:hint="default" w:ascii="Times New Roman" w:hAnsi="Times New Roman" w:cs="Times New Roman"/>
              <w:sz w:val="33"/>
              <w:szCs w:val="33"/>
            </w:rPr>
            <w:fldChar w:fldCharType="end"/>
          </w:r>
        </w:p>
        <w:p>
          <w:r>
            <w:fldChar w:fldCharType="end"/>
          </w:r>
        </w:p>
        <w:p/>
        <w:p/>
        <w:p/>
        <w:p/>
        <w:p/>
        <w:p/>
        <w:p/>
        <w:p/>
        <w:p/>
        <w:p/>
        <w:p/>
        <w:p/>
        <w:p/>
        <w:p>
          <w:pPr>
            <w:rPr>
              <w:rFonts w:ascii="Times New Roman" w:hAnsi="Times New Roman" w:eastAsia="宋体" w:cs="Times New Roman"/>
              <w:kern w:val="2"/>
              <w:sz w:val="21"/>
              <w:szCs w:val="24"/>
              <w:lang w:val="en-US" w:eastAsia="zh-CN" w:bidi="ar-SA"/>
            </w:rPr>
          </w:pPr>
        </w:p>
      </w:sdtContent>
    </w:sdt>
    <w:p>
      <w:pPr>
        <w:pStyle w:val="3"/>
        <w:jc w:val="center"/>
      </w:pPr>
      <w:bookmarkStart w:id="15" w:name="_Toc15396599"/>
      <w:bookmarkStart w:id="16" w:name="_Toc23598"/>
      <w:bookmarkStart w:id="17" w:name="_Toc15377196"/>
      <w:r>
        <w:rPr>
          <w:rFonts w:hint="eastAsia" w:ascii="黑体" w:hAnsi="黑体" w:eastAsia="黑体"/>
          <w:b w:val="0"/>
        </w:rPr>
        <w:t>第一部分 单位</w:t>
      </w:r>
      <w:r>
        <w:rPr>
          <w:rStyle w:val="28"/>
          <w:rFonts w:hint="eastAsia" w:ascii="黑体" w:hAnsi="黑体" w:eastAsia="黑体"/>
          <w:b w:val="0"/>
          <w:bCs w:val="0"/>
        </w:rPr>
        <w:t>概况</w:t>
      </w:r>
      <w:bookmarkEnd w:id="15"/>
      <w:bookmarkEnd w:id="16"/>
      <w:bookmarkEnd w:id="17"/>
    </w:p>
    <w:p>
      <w:pPr>
        <w:pStyle w:val="2"/>
        <w:outlineLvl w:val="9"/>
      </w:pPr>
    </w:p>
    <w:p>
      <w:pPr>
        <w:pStyle w:val="4"/>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Style w:val="29"/>
          <w:rFonts w:ascii="黑体" w:hAnsi="黑体" w:eastAsia="黑体"/>
          <w:b w:val="0"/>
          <w:bCs w:val="0"/>
        </w:rPr>
      </w:pPr>
      <w:bookmarkStart w:id="18" w:name="_Toc15615"/>
      <w:bookmarkStart w:id="19" w:name="_Toc15377197"/>
      <w:bookmarkStart w:id="20" w:name="_Toc15396600"/>
      <w:r>
        <w:rPr>
          <w:rStyle w:val="29"/>
          <w:rFonts w:hint="eastAsia" w:ascii="黑体" w:hAnsi="黑体" w:eastAsia="黑体"/>
          <w:b w:val="0"/>
          <w:bCs w:val="0"/>
          <w:lang w:val="en-US" w:eastAsia="zh-CN"/>
        </w:rPr>
        <w:t>一、</w:t>
      </w:r>
      <w:r>
        <w:rPr>
          <w:rStyle w:val="29"/>
          <w:rFonts w:hint="eastAsia" w:ascii="黑体" w:hAnsi="黑体" w:eastAsia="黑体"/>
          <w:b w:val="0"/>
          <w:bCs w:val="0"/>
        </w:rPr>
        <w:t>主要职责</w:t>
      </w:r>
      <w:bookmarkEnd w:id="18"/>
    </w:p>
    <w:p>
      <w:pPr>
        <w:pageBreakBefore w:val="0"/>
        <w:kinsoku/>
        <w:wordWrap/>
        <w:overflowPunct/>
        <w:topLinePunct w:val="0"/>
        <w:autoSpaceDE/>
        <w:autoSpaceDN/>
        <w:bidi w:val="0"/>
        <w:adjustRightInd/>
        <w:snapToGrid/>
        <w:spacing w:line="576" w:lineRule="exact"/>
        <w:ind w:firstLine="645"/>
        <w:textAlignment w:val="auto"/>
      </w:pPr>
      <w:r>
        <w:rPr>
          <w:rFonts w:eastAsia="方正仿宋_GBK"/>
          <w:sz w:val="33"/>
          <w:szCs w:val="33"/>
        </w:rPr>
        <w:t>攀枝花市纪检监察教育培训与信息中心</w:t>
      </w:r>
      <w:r>
        <w:rPr>
          <w:rFonts w:hint="eastAsia" w:eastAsia="方正仿宋_GBK"/>
          <w:sz w:val="33"/>
          <w:szCs w:val="33"/>
        </w:rPr>
        <w:t>（市监委留置中心）</w:t>
      </w:r>
      <w:r>
        <w:rPr>
          <w:rFonts w:eastAsia="方正仿宋_GBK"/>
          <w:sz w:val="33"/>
          <w:szCs w:val="33"/>
        </w:rPr>
        <w:t>，承担全市纪检监察</w:t>
      </w:r>
      <w:r>
        <w:rPr>
          <w:rFonts w:hint="eastAsia" w:eastAsia="方正仿宋_GBK"/>
          <w:sz w:val="33"/>
          <w:szCs w:val="33"/>
        </w:rPr>
        <w:t>系统信息化建设服务、纪检监察干部的教育培训</w:t>
      </w:r>
      <w:r>
        <w:rPr>
          <w:rFonts w:eastAsia="方正仿宋_GBK"/>
          <w:sz w:val="33"/>
          <w:szCs w:val="33"/>
        </w:rPr>
        <w:t>和查办党纪政纪案件的后勤保障服务工作</w:t>
      </w:r>
      <w:r>
        <w:rPr>
          <w:rFonts w:hint="eastAsia" w:eastAsia="方正仿宋_GBK"/>
          <w:sz w:val="33"/>
          <w:szCs w:val="33"/>
        </w:rPr>
        <w:t>，同时负责攀枝花市监委留置场所接纳、安置对象工作和场所的日常管理、安全保卫等后勤服务保障工作</w:t>
      </w:r>
      <w:r>
        <w:rPr>
          <w:rFonts w:eastAsia="方正仿宋_GBK"/>
          <w:sz w:val="33"/>
          <w:szCs w:val="33"/>
        </w:rPr>
        <w:t>。</w:t>
      </w:r>
    </w:p>
    <w:p>
      <w:pPr>
        <w:pageBreakBefore w:val="0"/>
        <w:kinsoku/>
        <w:wordWrap/>
        <w:overflowPunct/>
        <w:topLinePunct w:val="0"/>
        <w:autoSpaceDE/>
        <w:autoSpaceDN/>
        <w:bidi w:val="0"/>
        <w:adjustRightInd/>
        <w:snapToGrid/>
        <w:spacing w:line="576" w:lineRule="exact"/>
        <w:textAlignment w:val="auto"/>
      </w:pPr>
    </w:p>
    <w:p>
      <w:pPr>
        <w:pStyle w:val="4"/>
        <w:pageBreakBefore w:val="0"/>
        <w:kinsoku/>
        <w:wordWrap/>
        <w:overflowPunct/>
        <w:topLinePunct w:val="0"/>
        <w:autoSpaceDE/>
        <w:autoSpaceDN/>
        <w:bidi w:val="0"/>
        <w:adjustRightInd/>
        <w:snapToGrid/>
        <w:spacing w:line="576" w:lineRule="exact"/>
        <w:ind w:firstLine="640" w:firstLineChars="200"/>
        <w:textAlignment w:val="auto"/>
        <w:rPr>
          <w:rFonts w:ascii="黑体" w:hAnsi="黑体" w:eastAsia="黑体"/>
          <w:b w:val="0"/>
        </w:rPr>
      </w:pPr>
      <w:bookmarkStart w:id="21" w:name="_Toc907"/>
      <w:r>
        <w:rPr>
          <w:rFonts w:hint="eastAsia" w:ascii="黑体" w:hAnsi="黑体" w:eastAsia="黑体"/>
          <w:b w:val="0"/>
        </w:rPr>
        <w:t>二、机构设置</w:t>
      </w:r>
      <w:bookmarkEnd w:id="21"/>
    </w:p>
    <w:bookmarkEnd w:id="19"/>
    <w:bookmarkEnd w:id="20"/>
    <w:p>
      <w:pPr>
        <w:pageBreakBefore w:val="0"/>
        <w:kinsoku/>
        <w:wordWrap/>
        <w:overflowPunct/>
        <w:topLinePunct w:val="0"/>
        <w:autoSpaceDE/>
        <w:autoSpaceDN/>
        <w:bidi w:val="0"/>
        <w:adjustRightInd/>
        <w:snapToGrid/>
        <w:spacing w:line="576" w:lineRule="exact"/>
        <w:ind w:firstLine="660" w:firstLineChars="200"/>
        <w:textAlignment w:val="auto"/>
        <w:rPr>
          <w:rFonts w:hint="eastAsia" w:ascii="方正仿宋_GBK" w:hAnsi="方正仿宋_GBK" w:eastAsia="方正仿宋_GBK" w:cs="方正仿宋_GBK"/>
          <w:sz w:val="33"/>
          <w:szCs w:val="33"/>
          <w:lang w:eastAsia="zh-CN"/>
        </w:rPr>
      </w:pPr>
      <w:r>
        <w:rPr>
          <w:rFonts w:hint="eastAsia" w:ascii="方正仿宋_GBK" w:hAnsi="方正仿宋_GBK" w:eastAsia="方正仿宋_GBK" w:cs="方正仿宋_GBK"/>
          <w:sz w:val="33"/>
          <w:szCs w:val="33"/>
        </w:rPr>
        <w:t>攀枝花市纪检监察教育培训与信息中心为公益一类事业单位，执行政府会计准则制度，预算级次为二级预算单位</w:t>
      </w:r>
      <w:r>
        <w:rPr>
          <w:rFonts w:hint="eastAsia" w:ascii="方正仿宋_GBK" w:hAnsi="方正仿宋_GBK" w:eastAsia="方正仿宋_GBK" w:cs="方正仿宋_GBK"/>
          <w:sz w:val="33"/>
          <w:szCs w:val="33"/>
          <w:lang w:eastAsia="zh-CN"/>
        </w:rPr>
        <w:t>。</w:t>
      </w:r>
    </w:p>
    <w:p>
      <w:pPr>
        <w:pageBreakBefore w:val="0"/>
        <w:widowControl/>
        <w:kinsoku/>
        <w:wordWrap/>
        <w:overflowPunct/>
        <w:topLinePunct w:val="0"/>
        <w:autoSpaceDE/>
        <w:autoSpaceDN/>
        <w:bidi w:val="0"/>
        <w:adjustRightInd/>
        <w:snapToGrid/>
        <w:spacing w:line="576" w:lineRule="exact"/>
        <w:jc w:val="left"/>
        <w:textAlignment w:val="auto"/>
        <w:rPr>
          <w:rFonts w:ascii="仿宋" w:hAnsi="仿宋" w:eastAsia="仿宋"/>
          <w:kern w:val="0"/>
          <w:sz w:val="32"/>
          <w:szCs w:val="32"/>
        </w:rPr>
      </w:pPr>
      <w:r>
        <w:rPr>
          <w:rFonts w:ascii="仿宋" w:hAnsi="仿宋" w:eastAsia="仿宋"/>
          <w:sz w:val="32"/>
          <w:szCs w:val="32"/>
        </w:rPr>
        <w:br w:type="page"/>
      </w:r>
    </w:p>
    <w:p>
      <w:pPr>
        <w:pStyle w:val="3"/>
        <w:ind w:right="440"/>
        <w:jc w:val="center"/>
        <w:rPr>
          <w:rStyle w:val="28"/>
          <w:rFonts w:ascii="黑体" w:hAnsi="黑体" w:eastAsia="黑体"/>
          <w:b w:val="0"/>
          <w:bCs/>
        </w:rPr>
      </w:pPr>
      <w:bookmarkStart w:id="22" w:name="_Toc15396602"/>
      <w:bookmarkStart w:id="23" w:name="_Toc7836"/>
      <w:bookmarkStart w:id="24" w:name="_Toc15377204"/>
      <w:r>
        <w:rPr>
          <w:rFonts w:hint="eastAsia" w:ascii="黑体" w:hAnsi="黑体" w:eastAsia="黑体"/>
          <w:b w:val="0"/>
        </w:rPr>
        <w:t xml:space="preserve">第二部分 </w:t>
      </w:r>
      <w:r>
        <w:rPr>
          <w:rFonts w:hint="default" w:ascii="Times New Roman" w:hAnsi="Times New Roman" w:eastAsia="黑体" w:cs="Times New Roman"/>
          <w:b w:val="0"/>
        </w:rPr>
        <w:t>2023</w:t>
      </w:r>
      <w:r>
        <w:rPr>
          <w:rFonts w:hint="eastAsia" w:ascii="黑体" w:hAnsi="黑体" w:eastAsia="黑体"/>
          <w:b w:val="0"/>
        </w:rPr>
        <w:t>年度</w:t>
      </w:r>
      <w:r>
        <w:rPr>
          <w:rStyle w:val="28"/>
          <w:rFonts w:hint="eastAsia" w:ascii="黑体" w:hAnsi="黑体" w:eastAsia="黑体"/>
          <w:b w:val="0"/>
          <w:bCs/>
        </w:rPr>
        <w:t>单位决算情况说明</w:t>
      </w:r>
      <w:bookmarkEnd w:id="22"/>
      <w:bookmarkEnd w:id="23"/>
      <w:bookmarkEnd w:id="24"/>
    </w:p>
    <w:p/>
    <w:p>
      <w:pPr>
        <w:pStyle w:val="27"/>
        <w:keepNext w:val="0"/>
        <w:keepLines w:val="0"/>
        <w:pageBreakBefore w:val="0"/>
        <w:widowControl w:val="0"/>
        <w:numPr>
          <w:ilvl w:val="0"/>
          <w:numId w:val="1"/>
        </w:numPr>
        <w:kinsoku/>
        <w:wordWrap/>
        <w:overflowPunct/>
        <w:topLinePunct w:val="0"/>
        <w:bidi w:val="0"/>
        <w:snapToGrid/>
        <w:spacing w:line="576" w:lineRule="exact"/>
        <w:ind w:firstLineChars="0"/>
        <w:textAlignment w:val="auto"/>
        <w:outlineLvl w:val="1"/>
        <w:rPr>
          <w:rStyle w:val="29"/>
          <w:rFonts w:ascii="黑体" w:hAnsi="黑体" w:eastAsia="黑体"/>
          <w:b w:val="0"/>
        </w:rPr>
      </w:pPr>
      <w:bookmarkStart w:id="25" w:name="_Toc15377205"/>
      <w:bookmarkStart w:id="26" w:name="_Toc15396603"/>
      <w:bookmarkStart w:id="27" w:name="_Toc17470"/>
      <w:r>
        <w:rPr>
          <w:rFonts w:hint="eastAsia" w:ascii="黑体" w:hAnsi="黑体" w:eastAsia="黑体"/>
          <w:sz w:val="32"/>
          <w:szCs w:val="32"/>
        </w:rPr>
        <w:t>收</w:t>
      </w:r>
      <w:r>
        <w:rPr>
          <w:rStyle w:val="29"/>
          <w:rFonts w:hint="eastAsia" w:ascii="黑体" w:hAnsi="黑体" w:eastAsia="黑体"/>
          <w:b w:val="0"/>
        </w:rPr>
        <w:t>入支出决算总体情况说明</w:t>
      </w:r>
      <w:bookmarkEnd w:id="25"/>
      <w:bookmarkEnd w:id="26"/>
      <w:bookmarkEnd w:id="27"/>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2023年度收、支总计均为</w:t>
      </w:r>
      <w:r>
        <w:rPr>
          <w:rFonts w:hint="default" w:ascii="Times New Roman" w:hAnsi="Times New Roman" w:eastAsia="方正仿宋_GBK" w:cs="Times New Roman"/>
          <w:b/>
          <w:sz w:val="33"/>
          <w:szCs w:val="33"/>
        </w:rPr>
        <w:t>476.42</w:t>
      </w:r>
      <w:r>
        <w:rPr>
          <w:rFonts w:hint="default" w:ascii="Times New Roman" w:hAnsi="Times New Roman" w:eastAsia="方正仿宋_GBK" w:cs="Times New Roman"/>
          <w:sz w:val="33"/>
          <w:szCs w:val="33"/>
        </w:rPr>
        <w:t>万元。与2022年度相比，收、支总计各增加</w:t>
      </w:r>
      <w:r>
        <w:rPr>
          <w:rFonts w:hint="default" w:ascii="Times New Roman" w:hAnsi="Times New Roman" w:eastAsia="方正仿宋_GBK" w:cs="Times New Roman"/>
          <w:sz w:val="33"/>
          <w:szCs w:val="33"/>
          <w:lang w:val="en-US" w:eastAsia="zh-CN"/>
        </w:rPr>
        <w:t>135.8</w:t>
      </w:r>
      <w:r>
        <w:rPr>
          <w:rFonts w:hint="default" w:ascii="Times New Roman" w:hAnsi="Times New Roman" w:eastAsia="方正仿宋_GBK" w:cs="Times New Roman"/>
          <w:sz w:val="33"/>
          <w:szCs w:val="33"/>
        </w:rPr>
        <w:t>万元，增长</w:t>
      </w:r>
      <w:r>
        <w:rPr>
          <w:rFonts w:hint="default" w:ascii="Times New Roman" w:hAnsi="Times New Roman" w:eastAsia="方正仿宋_GBK" w:cs="Times New Roman"/>
          <w:sz w:val="33"/>
          <w:szCs w:val="33"/>
          <w:lang w:val="en-US" w:eastAsia="zh-CN"/>
        </w:rPr>
        <w:t>39.87</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color w:val="000000"/>
          <w:kern w:val="0"/>
          <w:sz w:val="33"/>
          <w:szCs w:val="33"/>
        </w:rPr>
        <w:t>人员经费及项目经费比202</w:t>
      </w:r>
      <w:r>
        <w:rPr>
          <w:rFonts w:hint="default" w:ascii="Times New Roman" w:hAnsi="Times New Roman" w:eastAsia="方正仿宋_GBK" w:cs="Times New Roman"/>
          <w:color w:val="000000"/>
          <w:kern w:val="0"/>
          <w:sz w:val="33"/>
          <w:szCs w:val="33"/>
          <w:lang w:val="en-US" w:eastAsia="zh-CN"/>
        </w:rPr>
        <w:t>2</w:t>
      </w:r>
      <w:r>
        <w:rPr>
          <w:rFonts w:hint="default" w:ascii="Times New Roman" w:hAnsi="Times New Roman" w:eastAsia="方正仿宋_GBK" w:cs="Times New Roman"/>
          <w:color w:val="000000"/>
          <w:kern w:val="0"/>
          <w:sz w:val="33"/>
          <w:szCs w:val="33"/>
        </w:rPr>
        <w:t>年增加</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（图1：收、支决算总计变动情况图）（柱状图）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3542665" cy="2043430"/>
            <wp:effectExtent l="5080" t="4445" r="8255" b="34925"/>
            <wp:docPr id="1" name="图表 1"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keepNext w:val="0"/>
        <w:keepLines w:val="0"/>
        <w:pageBreakBefore w:val="0"/>
        <w:widowControl w:val="0"/>
        <w:numPr>
          <w:ilvl w:val="0"/>
          <w:numId w:val="1"/>
        </w:numPr>
        <w:kinsoku/>
        <w:wordWrap/>
        <w:overflowPunct/>
        <w:topLinePunct w:val="0"/>
        <w:bidi w:val="0"/>
        <w:snapToGrid/>
        <w:spacing w:line="576" w:lineRule="exact"/>
        <w:ind w:firstLineChars="0"/>
        <w:textAlignment w:val="auto"/>
        <w:outlineLvl w:val="1"/>
        <w:rPr>
          <w:rStyle w:val="29"/>
          <w:rFonts w:ascii="黑体" w:hAnsi="黑体" w:eastAsia="黑体"/>
          <w:b w:val="0"/>
          <w:sz w:val="33"/>
          <w:szCs w:val="33"/>
        </w:rPr>
      </w:pPr>
      <w:bookmarkStart w:id="28" w:name="_Toc15396604"/>
      <w:bookmarkStart w:id="29" w:name="_Toc15377206"/>
      <w:bookmarkStart w:id="30" w:name="_Toc26124"/>
      <w:r>
        <w:rPr>
          <w:rFonts w:hint="eastAsia" w:ascii="黑体" w:hAnsi="黑体" w:eastAsia="黑体"/>
          <w:sz w:val="33"/>
          <w:szCs w:val="33"/>
        </w:rPr>
        <w:t>收</w:t>
      </w:r>
      <w:r>
        <w:rPr>
          <w:rStyle w:val="29"/>
          <w:rFonts w:hint="eastAsia" w:ascii="黑体" w:hAnsi="黑体" w:eastAsia="黑体"/>
          <w:b w:val="0"/>
          <w:sz w:val="33"/>
          <w:szCs w:val="33"/>
        </w:rPr>
        <w:t>入决算情况说明</w:t>
      </w:r>
      <w:bookmarkEnd w:id="28"/>
      <w:bookmarkEnd w:id="29"/>
      <w:bookmarkEnd w:id="30"/>
    </w:p>
    <w:p>
      <w:pPr>
        <w:keepNext w:val="0"/>
        <w:keepLines w:val="0"/>
        <w:pageBreakBefore w:val="0"/>
        <w:widowControl w:val="0"/>
        <w:kinsoku/>
        <w:wordWrap/>
        <w:overflowPunct/>
        <w:topLinePunct w:val="0"/>
        <w:bidi w:val="0"/>
        <w:snapToGrid/>
        <w:spacing w:line="576" w:lineRule="exact"/>
        <w:ind w:firstLine="660" w:firstLineChars="200"/>
        <w:textAlignment w:val="auto"/>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2023年度本年收入合计</w:t>
      </w:r>
      <w:r>
        <w:rPr>
          <w:rFonts w:hint="default" w:ascii="Times New Roman" w:hAnsi="Times New Roman" w:eastAsia="方正仿宋_GBK" w:cs="Times New Roman"/>
          <w:b/>
          <w:sz w:val="33"/>
          <w:szCs w:val="33"/>
        </w:rPr>
        <w:t>476.42</w:t>
      </w:r>
      <w:r>
        <w:rPr>
          <w:rFonts w:hint="default" w:ascii="Times New Roman" w:hAnsi="Times New Roman" w:eastAsia="方正仿宋_GBK" w:cs="Times New Roman"/>
          <w:sz w:val="33"/>
          <w:szCs w:val="33"/>
        </w:rPr>
        <w:t>万元，其中：一般公共预算财政拨款收入</w:t>
      </w:r>
      <w:r>
        <w:rPr>
          <w:rFonts w:hint="default" w:ascii="Times New Roman" w:hAnsi="Times New Roman" w:eastAsia="方正仿宋_GBK" w:cs="Times New Roman"/>
          <w:b/>
          <w:sz w:val="33"/>
          <w:szCs w:val="33"/>
        </w:rPr>
        <w:t>476.42</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100%</w:t>
      </w:r>
      <w:r>
        <w:rPr>
          <w:rFonts w:hint="default" w:ascii="Times New Roman" w:hAnsi="Times New Roman" w:eastAsia="方正仿宋_GBK" w:cs="Times New Roman"/>
          <w:sz w:val="33"/>
          <w:szCs w:val="33"/>
        </w:rPr>
        <w:t>；政府性基金预算财政拨款收入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%；国有资本经营预算财政拨款收入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%；上级补助收入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万元，占0%；事业收入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%；经营收入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%；附属单位上缴收入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%；其他收入</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（图2：收入决算结构图）（饼状图）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9"/>
        <w:rPr>
          <w:rFonts w:ascii="仿宋_GB2312" w:eastAsia="仿宋_GB2312"/>
          <w:sz w:val="32"/>
          <w:szCs w:val="32"/>
        </w:rPr>
      </w:pPr>
      <w:r>
        <w:rPr>
          <w:rFonts w:hint="eastAsia" w:ascii="仿宋" w:hAnsi="仿宋" w:eastAsia="仿宋"/>
          <w:sz w:val="32"/>
          <w:szCs w:val="32"/>
          <w:lang w:eastAsia="zh-CN"/>
        </w:rPr>
        <w:drawing>
          <wp:inline distT="0" distB="0" distL="114300" distR="114300">
            <wp:extent cx="3542665" cy="2033270"/>
            <wp:effectExtent l="4445" t="4445" r="8890" b="6985"/>
            <wp:docPr id="2" name="图表 2" descr="7b0a202020202263686172745265734964223a202232303437353538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keepNext w:val="0"/>
        <w:keepLines w:val="0"/>
        <w:pageBreakBefore w:val="0"/>
        <w:widowControl w:val="0"/>
        <w:numPr>
          <w:ilvl w:val="0"/>
          <w:numId w:val="1"/>
        </w:numPr>
        <w:kinsoku/>
        <w:wordWrap/>
        <w:overflowPunct/>
        <w:topLinePunct w:val="0"/>
        <w:bidi w:val="0"/>
        <w:snapToGrid/>
        <w:spacing w:line="576" w:lineRule="exact"/>
        <w:ind w:firstLineChars="0"/>
        <w:textAlignment w:val="auto"/>
        <w:outlineLvl w:val="1"/>
        <w:rPr>
          <w:rStyle w:val="29"/>
          <w:rFonts w:ascii="黑体" w:hAnsi="黑体" w:eastAsia="黑体"/>
          <w:b w:val="0"/>
          <w:sz w:val="33"/>
          <w:szCs w:val="33"/>
        </w:rPr>
      </w:pPr>
      <w:bookmarkStart w:id="31" w:name="_Toc15377207"/>
      <w:bookmarkStart w:id="32" w:name="_Toc15396605"/>
      <w:bookmarkStart w:id="33" w:name="_Toc8951"/>
      <w:r>
        <w:rPr>
          <w:rFonts w:hint="eastAsia" w:ascii="黑体" w:hAnsi="黑体" w:eastAsia="黑体"/>
          <w:sz w:val="33"/>
          <w:szCs w:val="33"/>
        </w:rPr>
        <w:t>支</w:t>
      </w:r>
      <w:r>
        <w:rPr>
          <w:rStyle w:val="29"/>
          <w:rFonts w:hint="eastAsia" w:ascii="黑体" w:hAnsi="黑体" w:eastAsia="黑体"/>
          <w:b w:val="0"/>
          <w:sz w:val="33"/>
          <w:szCs w:val="33"/>
        </w:rPr>
        <w:t>出决算情况说明</w:t>
      </w:r>
      <w:bookmarkEnd w:id="31"/>
      <w:bookmarkEnd w:id="32"/>
      <w:bookmarkEnd w:id="33"/>
    </w:p>
    <w:p>
      <w:pPr>
        <w:keepNext w:val="0"/>
        <w:keepLines w:val="0"/>
        <w:pageBreakBefore w:val="0"/>
        <w:widowControl w:val="0"/>
        <w:kinsoku/>
        <w:wordWrap/>
        <w:overflowPunct/>
        <w:topLinePunct w:val="0"/>
        <w:bidi w:val="0"/>
        <w:snapToGrid/>
        <w:spacing w:line="576" w:lineRule="exact"/>
        <w:ind w:firstLine="660" w:firstLineChars="200"/>
        <w:textAlignment w:val="auto"/>
        <w:outlineLvl w:val="9"/>
        <w:rPr>
          <w:rFonts w:hint="default" w:ascii="Times New Roman" w:hAnsi="Times New Roman" w:eastAsia="方正仿宋_GBK" w:cs="Times New Roman"/>
          <w:sz w:val="33"/>
          <w:szCs w:val="33"/>
          <w:shd w:val="pct10" w:color="auto" w:fill="FFFFFF"/>
        </w:rPr>
      </w:pPr>
      <w:r>
        <w:rPr>
          <w:rFonts w:hint="default" w:ascii="Times New Roman" w:hAnsi="Times New Roman" w:eastAsia="方正仿宋_GBK" w:cs="Times New Roman"/>
          <w:sz w:val="33"/>
          <w:szCs w:val="33"/>
        </w:rPr>
        <w:t>2023年度本年支出合计</w:t>
      </w:r>
      <w:r>
        <w:rPr>
          <w:rFonts w:hint="default" w:ascii="Times New Roman" w:hAnsi="Times New Roman" w:eastAsia="方正仿宋_GBK" w:cs="Times New Roman"/>
          <w:b/>
          <w:sz w:val="33"/>
          <w:szCs w:val="33"/>
        </w:rPr>
        <w:t>476.42</w:t>
      </w:r>
      <w:r>
        <w:rPr>
          <w:rFonts w:hint="default" w:ascii="Times New Roman" w:hAnsi="Times New Roman" w:eastAsia="方正仿宋_GBK" w:cs="Times New Roman"/>
          <w:sz w:val="33"/>
          <w:szCs w:val="33"/>
        </w:rPr>
        <w:t>万元，其中：基本支出</w:t>
      </w:r>
      <w:r>
        <w:rPr>
          <w:rFonts w:hint="default" w:ascii="Times New Roman" w:hAnsi="Times New Roman" w:eastAsia="方正仿宋_GBK" w:cs="Times New Roman"/>
          <w:b/>
          <w:sz w:val="33"/>
          <w:szCs w:val="33"/>
        </w:rPr>
        <w:t>281.09</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59</w:t>
      </w:r>
      <w:r>
        <w:rPr>
          <w:rFonts w:hint="eastAsia" w:eastAsia="方正仿宋_GBK" w:cs="Times New Roman"/>
          <w:b/>
          <w:sz w:val="33"/>
          <w:szCs w:val="33"/>
          <w:lang w:val="en-US" w:eastAsia="zh-CN"/>
        </w:rPr>
        <w:t>.01</w:t>
      </w:r>
      <w:r>
        <w:rPr>
          <w:rFonts w:hint="default" w:ascii="Times New Roman" w:hAnsi="Times New Roman" w:eastAsia="方正仿宋_GBK" w:cs="Times New Roman"/>
          <w:sz w:val="33"/>
          <w:szCs w:val="33"/>
        </w:rPr>
        <w:t>%；项目支出</w:t>
      </w:r>
      <w:r>
        <w:rPr>
          <w:rFonts w:hint="default" w:ascii="Times New Roman" w:hAnsi="Times New Roman" w:eastAsia="方正仿宋_GBK" w:cs="Times New Roman"/>
          <w:b/>
          <w:sz w:val="33"/>
          <w:szCs w:val="33"/>
        </w:rPr>
        <w:t>195.32</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40.99</w:t>
      </w:r>
      <w:r>
        <w:rPr>
          <w:rFonts w:hint="default" w:ascii="Times New Roman" w:hAnsi="Times New Roman" w:eastAsia="方正仿宋_GBK" w:cs="Times New Roman"/>
          <w:sz w:val="33"/>
          <w:szCs w:val="33"/>
        </w:rPr>
        <w:t>%；上缴上级支出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%；经营支出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%；对附属单位补助支出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（图3：支出决算结构图）（饼状图）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3671570" cy="2136140"/>
            <wp:effectExtent l="4445" t="4445" r="6985" b="43815"/>
            <wp:docPr id="3" name="图表 3" descr="7b0a202020202263686172745265734964223a20223230343734353138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kinsoku/>
        <w:wordWrap/>
        <w:overflowPunct/>
        <w:topLinePunct w:val="0"/>
        <w:bidi w:val="0"/>
        <w:snapToGrid/>
        <w:spacing w:line="576" w:lineRule="exact"/>
        <w:ind w:firstLine="660" w:firstLineChars="200"/>
        <w:textAlignment w:val="auto"/>
        <w:outlineLvl w:val="1"/>
        <w:rPr>
          <w:rStyle w:val="29"/>
          <w:rFonts w:ascii="黑体" w:hAnsi="黑体" w:eastAsia="黑体"/>
          <w:b w:val="0"/>
          <w:sz w:val="33"/>
          <w:szCs w:val="33"/>
        </w:rPr>
      </w:pPr>
      <w:bookmarkStart w:id="34" w:name="_Toc13800"/>
      <w:bookmarkStart w:id="35" w:name="_Toc15377208"/>
      <w:bookmarkStart w:id="36" w:name="_Toc15396606"/>
      <w:r>
        <w:rPr>
          <w:rFonts w:hint="eastAsia" w:ascii="黑体" w:hAnsi="黑体" w:eastAsia="黑体"/>
          <w:sz w:val="33"/>
          <w:szCs w:val="33"/>
        </w:rPr>
        <w:t>四、财</w:t>
      </w:r>
      <w:r>
        <w:rPr>
          <w:rStyle w:val="29"/>
          <w:rFonts w:hint="eastAsia" w:ascii="黑体" w:hAnsi="黑体" w:eastAsia="黑体"/>
          <w:b w:val="0"/>
          <w:sz w:val="33"/>
          <w:szCs w:val="33"/>
        </w:rPr>
        <w:t>政拨款收入支出决算总体情况说明</w:t>
      </w:r>
      <w:bookmarkEnd w:id="34"/>
      <w:bookmarkEnd w:id="35"/>
      <w:bookmarkEnd w:id="36"/>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2023年度财政拨款收、支总计均为</w:t>
      </w:r>
      <w:r>
        <w:rPr>
          <w:rFonts w:hint="default" w:ascii="Times New Roman" w:hAnsi="Times New Roman" w:eastAsia="方正仿宋_GBK" w:cs="Times New Roman"/>
          <w:b/>
          <w:sz w:val="33"/>
          <w:szCs w:val="33"/>
        </w:rPr>
        <w:t>476.42</w:t>
      </w:r>
      <w:r>
        <w:rPr>
          <w:rFonts w:hint="default" w:ascii="Times New Roman" w:hAnsi="Times New Roman" w:eastAsia="方正仿宋_GBK" w:cs="Times New Roman"/>
          <w:sz w:val="33"/>
          <w:szCs w:val="33"/>
        </w:rPr>
        <w:t>万元。与2022年度相比，财政拨款收、支总计各增加</w:t>
      </w:r>
      <w:r>
        <w:rPr>
          <w:rFonts w:hint="default" w:ascii="Times New Roman" w:hAnsi="Times New Roman" w:eastAsia="方正仿宋_GBK" w:cs="Times New Roman"/>
          <w:sz w:val="33"/>
          <w:szCs w:val="33"/>
          <w:lang w:val="en-US" w:eastAsia="zh-CN"/>
        </w:rPr>
        <w:t>135.8</w:t>
      </w:r>
      <w:r>
        <w:rPr>
          <w:rFonts w:hint="default" w:ascii="Times New Roman" w:hAnsi="Times New Roman" w:eastAsia="方正仿宋_GBK" w:cs="Times New Roman"/>
          <w:sz w:val="33"/>
          <w:szCs w:val="33"/>
        </w:rPr>
        <w:t>万元，增长</w:t>
      </w:r>
      <w:r>
        <w:rPr>
          <w:rFonts w:hint="default" w:ascii="Times New Roman" w:hAnsi="Times New Roman" w:eastAsia="方正仿宋_GBK" w:cs="Times New Roman"/>
          <w:sz w:val="33"/>
          <w:szCs w:val="33"/>
          <w:lang w:val="en-US" w:eastAsia="zh-CN"/>
        </w:rPr>
        <w:t>39.87</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color w:val="000000"/>
          <w:kern w:val="0"/>
          <w:sz w:val="33"/>
          <w:szCs w:val="33"/>
        </w:rPr>
        <w:t>人员经费及项目经费比202</w:t>
      </w:r>
      <w:r>
        <w:rPr>
          <w:rFonts w:hint="default" w:ascii="Times New Roman" w:hAnsi="Times New Roman" w:eastAsia="方正仿宋_GBK" w:cs="Times New Roman"/>
          <w:color w:val="000000"/>
          <w:kern w:val="0"/>
          <w:sz w:val="33"/>
          <w:szCs w:val="33"/>
          <w:lang w:val="en-US" w:eastAsia="zh-CN"/>
        </w:rPr>
        <w:t>2</w:t>
      </w:r>
      <w:r>
        <w:rPr>
          <w:rFonts w:hint="default" w:ascii="Times New Roman" w:hAnsi="Times New Roman" w:eastAsia="方正仿宋_GBK" w:cs="Times New Roman"/>
          <w:color w:val="000000"/>
          <w:kern w:val="0"/>
          <w:sz w:val="33"/>
          <w:szCs w:val="33"/>
        </w:rPr>
        <w:t>年增加</w:t>
      </w:r>
      <w:r>
        <w:rPr>
          <w:rFonts w:hint="default" w:ascii="Times New Roman" w:hAnsi="Times New Roman" w:eastAsia="方正仿宋_GBK" w:cs="Times New Roman"/>
          <w:color w:val="000000"/>
          <w:kern w:val="0"/>
          <w:sz w:val="33"/>
          <w:szCs w:val="33"/>
          <w:lang w:eastAsia="zh-CN"/>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（图4：财政拨款收、支决算总计变动情况）（柱状图）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1"/>
        <w:jc w:val="center"/>
        <w:textAlignment w:val="auto"/>
        <w:rPr>
          <w:rFonts w:hint="eastAsia"/>
          <w:lang w:eastAsia="zh-CN"/>
        </w:rPr>
      </w:pPr>
      <w:r>
        <w:rPr>
          <w:rFonts w:hint="eastAsia" w:ascii="仿宋" w:hAnsi="仿宋" w:eastAsia="仿宋"/>
          <w:b/>
          <w:sz w:val="32"/>
          <w:szCs w:val="32"/>
          <w:lang w:eastAsia="zh-CN"/>
        </w:rPr>
        <w:drawing>
          <wp:inline distT="0" distB="0" distL="114300" distR="114300">
            <wp:extent cx="3694430" cy="2261235"/>
            <wp:effectExtent l="4445" t="5080" r="9525" b="45085"/>
            <wp:docPr id="4" name="图表 4"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bidi w:val="0"/>
        <w:snapToGrid/>
        <w:spacing w:line="576" w:lineRule="exact"/>
        <w:ind w:firstLine="660" w:firstLineChars="200"/>
        <w:textAlignment w:val="auto"/>
        <w:outlineLvl w:val="1"/>
        <w:rPr>
          <w:rStyle w:val="29"/>
          <w:rFonts w:ascii="黑体" w:hAnsi="黑体" w:eastAsia="黑体"/>
          <w:b w:val="0"/>
          <w:sz w:val="33"/>
          <w:szCs w:val="33"/>
        </w:rPr>
      </w:pPr>
      <w:bookmarkStart w:id="37" w:name="_Toc15396607"/>
      <w:bookmarkStart w:id="38" w:name="_Toc15377209"/>
      <w:bookmarkStart w:id="39" w:name="_Toc19947"/>
      <w:r>
        <w:rPr>
          <w:rFonts w:hint="eastAsia" w:ascii="黑体" w:hAnsi="黑体" w:eastAsia="黑体"/>
          <w:sz w:val="33"/>
          <w:szCs w:val="33"/>
        </w:rPr>
        <w:t>五、</w:t>
      </w:r>
      <w:r>
        <w:rPr>
          <w:rFonts w:hint="eastAsia" w:ascii="黑体" w:hAnsi="黑体" w:eastAsia="黑体"/>
          <w:b/>
          <w:sz w:val="33"/>
          <w:szCs w:val="33"/>
        </w:rPr>
        <w:t>一</w:t>
      </w:r>
      <w:r>
        <w:rPr>
          <w:rStyle w:val="29"/>
          <w:rFonts w:hint="eastAsia" w:ascii="黑体" w:hAnsi="黑体" w:eastAsia="黑体"/>
          <w:b w:val="0"/>
          <w:sz w:val="33"/>
          <w:szCs w:val="33"/>
        </w:rPr>
        <w:t>般公共预算财政拨款支出决算情况说明</w:t>
      </w:r>
      <w:bookmarkEnd w:id="37"/>
      <w:bookmarkEnd w:id="38"/>
      <w:bookmarkEnd w:id="39"/>
    </w:p>
    <w:p>
      <w:pPr>
        <w:keepNext w:val="0"/>
        <w:keepLines w:val="0"/>
        <w:pageBreakBefore w:val="0"/>
        <w:widowControl w:val="0"/>
        <w:kinsoku/>
        <w:wordWrap/>
        <w:overflowPunct/>
        <w:topLinePunct w:val="0"/>
        <w:bidi w:val="0"/>
        <w:snapToGrid/>
        <w:spacing w:line="576" w:lineRule="exact"/>
        <w:ind w:firstLine="663" w:firstLineChars="200"/>
        <w:textAlignment w:val="auto"/>
        <w:outlineLvl w:val="9"/>
        <w:rPr>
          <w:rFonts w:hint="eastAsia" w:ascii="方正楷体_GBK" w:hAnsi="方正楷体_GBK" w:eastAsia="方正楷体_GBK" w:cs="方正楷体_GBK"/>
          <w:b/>
          <w:sz w:val="33"/>
          <w:szCs w:val="33"/>
        </w:rPr>
      </w:pPr>
      <w:bookmarkStart w:id="40" w:name="_Toc15377210"/>
      <w:r>
        <w:rPr>
          <w:rFonts w:hint="eastAsia" w:ascii="方正楷体_GBK" w:hAnsi="方正楷体_GBK" w:eastAsia="方正楷体_GBK" w:cs="方正楷体_GBK"/>
          <w:b/>
          <w:sz w:val="33"/>
          <w:szCs w:val="33"/>
        </w:rPr>
        <w:t>（一）一般公共预算财政拨款支出决算总体情况</w:t>
      </w:r>
      <w:bookmarkEnd w:id="40"/>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2023年度一般公共预算财政拨款支出</w:t>
      </w:r>
      <w:r>
        <w:rPr>
          <w:rFonts w:hint="default" w:ascii="Times New Roman" w:hAnsi="Times New Roman" w:eastAsia="方正仿宋_GBK" w:cs="Times New Roman"/>
          <w:b/>
          <w:sz w:val="33"/>
          <w:szCs w:val="33"/>
        </w:rPr>
        <w:t>476.42</w:t>
      </w:r>
      <w:r>
        <w:rPr>
          <w:rFonts w:hint="default" w:ascii="Times New Roman" w:hAnsi="Times New Roman" w:eastAsia="方正仿宋_GBK" w:cs="Times New Roman"/>
          <w:sz w:val="33"/>
          <w:szCs w:val="33"/>
        </w:rPr>
        <w:t>万元，占本年支出合计的</w:t>
      </w:r>
      <w:r>
        <w:rPr>
          <w:rFonts w:hint="default" w:ascii="Times New Roman" w:hAnsi="Times New Roman" w:eastAsia="方正仿宋_GBK" w:cs="Times New Roman"/>
          <w:b/>
          <w:sz w:val="33"/>
          <w:szCs w:val="33"/>
        </w:rPr>
        <w:t>100</w:t>
      </w:r>
      <w:r>
        <w:rPr>
          <w:rFonts w:hint="default" w:ascii="Times New Roman" w:hAnsi="Times New Roman" w:eastAsia="方正仿宋_GBK" w:cs="Times New Roman"/>
          <w:sz w:val="33"/>
          <w:szCs w:val="33"/>
        </w:rPr>
        <w:t>%。与2022年度相比，一般公共预算财政拨款支出增加</w:t>
      </w:r>
      <w:r>
        <w:rPr>
          <w:rFonts w:hint="default" w:ascii="Times New Roman" w:hAnsi="Times New Roman" w:eastAsia="方正仿宋_GBK" w:cs="Times New Roman"/>
          <w:sz w:val="33"/>
          <w:szCs w:val="33"/>
          <w:lang w:val="en-US" w:eastAsia="zh-CN"/>
        </w:rPr>
        <w:t>135.8</w:t>
      </w:r>
      <w:r>
        <w:rPr>
          <w:rFonts w:hint="default" w:ascii="Times New Roman" w:hAnsi="Times New Roman" w:eastAsia="方正仿宋_GBK" w:cs="Times New Roman"/>
          <w:sz w:val="33"/>
          <w:szCs w:val="33"/>
        </w:rPr>
        <w:t>万元，增长</w:t>
      </w:r>
      <w:r>
        <w:rPr>
          <w:rFonts w:hint="default" w:ascii="Times New Roman" w:hAnsi="Times New Roman" w:eastAsia="方正仿宋_GBK" w:cs="Times New Roman"/>
          <w:sz w:val="33"/>
          <w:szCs w:val="33"/>
          <w:lang w:val="en-US" w:eastAsia="zh-CN"/>
        </w:rPr>
        <w:t>39.87</w:t>
      </w:r>
      <w:r>
        <w:rPr>
          <w:rFonts w:hint="default" w:ascii="Times New Roman" w:hAnsi="Times New Roman" w:eastAsia="方正仿宋_GBK" w:cs="Times New Roman"/>
          <w:sz w:val="33"/>
          <w:szCs w:val="33"/>
        </w:rPr>
        <w:t>%。主要变动原因是</w:t>
      </w:r>
      <w:r>
        <w:rPr>
          <w:rFonts w:hint="default" w:ascii="Times New Roman" w:hAnsi="Times New Roman" w:eastAsia="方正仿宋_GBK" w:cs="Times New Roman"/>
          <w:sz w:val="33"/>
          <w:szCs w:val="33"/>
          <w:lang w:val="en-US" w:eastAsia="zh-CN"/>
        </w:rPr>
        <w:t>基本支出和项目支出增加。</w:t>
      </w:r>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（图5：一般公共预算财政拨款支出决算变动情况）（柱状图）</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center"/>
        <w:textAlignment w:val="auto"/>
        <w:rPr>
          <w:rFonts w:ascii="仿宋" w:hAnsi="仿宋" w:eastAsia="仿宋"/>
          <w:sz w:val="32"/>
          <w:szCs w:val="32"/>
        </w:rPr>
      </w:pPr>
      <w:r>
        <w:rPr>
          <w:rFonts w:hint="eastAsia" w:ascii="仿宋" w:hAnsi="仿宋" w:eastAsia="仿宋"/>
          <w:b/>
          <w:sz w:val="32"/>
          <w:szCs w:val="32"/>
          <w:lang w:eastAsia="zh-CN"/>
        </w:rPr>
        <w:drawing>
          <wp:inline distT="0" distB="0" distL="114300" distR="114300">
            <wp:extent cx="3694430" cy="2261235"/>
            <wp:effectExtent l="4445" t="5080" r="9525" b="45085"/>
            <wp:docPr id="5" name="图表 5" descr="7b0a202020202263686172745265734964223a20223230343736333439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bidi w:val="0"/>
        <w:snapToGrid/>
        <w:spacing w:line="576" w:lineRule="exact"/>
        <w:ind w:firstLine="663" w:firstLineChars="200"/>
        <w:textAlignment w:val="auto"/>
        <w:outlineLvl w:val="9"/>
        <w:rPr>
          <w:rFonts w:hint="eastAsia" w:ascii="方正楷体_GBK" w:hAnsi="方正楷体_GBK" w:eastAsia="方正楷体_GBK" w:cs="方正楷体_GBK"/>
          <w:b/>
          <w:sz w:val="33"/>
          <w:szCs w:val="33"/>
        </w:rPr>
      </w:pPr>
      <w:bookmarkStart w:id="41" w:name="_Toc15377211"/>
      <w:r>
        <w:rPr>
          <w:rFonts w:hint="eastAsia" w:ascii="方正楷体_GBK" w:hAnsi="方正楷体_GBK" w:eastAsia="方正楷体_GBK" w:cs="方正楷体_GBK"/>
          <w:b/>
          <w:sz w:val="33"/>
          <w:szCs w:val="33"/>
        </w:rPr>
        <w:t>（二）一般公共预算财政拨款支出决算结构情况</w:t>
      </w:r>
      <w:bookmarkEnd w:id="41"/>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2023年度一般公共预算财政拨款支出</w:t>
      </w:r>
      <w:r>
        <w:rPr>
          <w:rFonts w:hint="default" w:ascii="Times New Roman" w:hAnsi="Times New Roman" w:eastAsia="方正仿宋_GBK" w:cs="Times New Roman"/>
          <w:b/>
          <w:sz w:val="33"/>
          <w:szCs w:val="33"/>
        </w:rPr>
        <w:t>476.42</w:t>
      </w:r>
      <w:r>
        <w:rPr>
          <w:rFonts w:hint="default" w:ascii="Times New Roman" w:hAnsi="Times New Roman" w:eastAsia="方正仿宋_GBK" w:cs="Times New Roman"/>
          <w:sz w:val="33"/>
          <w:szCs w:val="33"/>
        </w:rPr>
        <w:t>万元，主要用于以下方面:</w:t>
      </w:r>
      <w:r>
        <w:rPr>
          <w:rFonts w:hint="default" w:ascii="Times New Roman" w:hAnsi="Times New Roman" w:eastAsia="方正仿宋_GBK" w:cs="Times New Roman"/>
          <w:b/>
          <w:sz w:val="33"/>
          <w:szCs w:val="33"/>
        </w:rPr>
        <w:t>一般公共服务</w:t>
      </w:r>
      <w:r>
        <w:rPr>
          <w:rFonts w:hint="default" w:ascii="Times New Roman" w:hAnsi="Times New Roman" w:eastAsia="方正仿宋_GBK" w:cs="Times New Roman"/>
          <w:b/>
          <w:bCs/>
          <w:sz w:val="33"/>
          <w:szCs w:val="33"/>
        </w:rPr>
        <w:t>支出</w:t>
      </w:r>
      <w:r>
        <w:rPr>
          <w:rFonts w:hint="default" w:ascii="Times New Roman" w:hAnsi="Times New Roman" w:eastAsia="方正仿宋_GBK" w:cs="Times New Roman"/>
          <w:sz w:val="33"/>
          <w:szCs w:val="33"/>
          <w:lang w:val="en-US" w:eastAsia="zh-CN"/>
        </w:rPr>
        <w:t>402.76</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84.54</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sz w:val="33"/>
          <w:szCs w:val="33"/>
        </w:rPr>
        <w:t>教育支出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sz w:val="33"/>
          <w:szCs w:val="33"/>
        </w:rPr>
        <w:t>科学技术</w:t>
      </w:r>
      <w:r>
        <w:rPr>
          <w:rFonts w:hint="default" w:ascii="Times New Roman" w:hAnsi="Times New Roman" w:eastAsia="方正仿宋_GBK" w:cs="Times New Roman"/>
          <w:b/>
          <w:bCs/>
          <w:sz w:val="33"/>
          <w:szCs w:val="33"/>
        </w:rPr>
        <w:t>支出</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文化旅游体育与传媒支出</w:t>
      </w:r>
      <w:r>
        <w:rPr>
          <w:rFonts w:hint="default" w:ascii="Times New Roman" w:hAnsi="Times New Roman" w:eastAsia="方正仿宋_GBK" w:cs="Times New Roman"/>
          <w:b/>
          <w:bCs/>
          <w:sz w:val="33"/>
          <w:szCs w:val="33"/>
          <w:lang w:val="en-US" w:eastAsia="zh-CN"/>
        </w:rPr>
        <w:t>0</w:t>
      </w:r>
      <w:r>
        <w:rPr>
          <w:rFonts w:hint="default" w:ascii="Times New Roman" w:hAnsi="Times New Roman" w:eastAsia="方正仿宋_GBK" w:cs="Times New Roman"/>
          <w:b/>
          <w:bCs/>
          <w:sz w:val="33"/>
          <w:szCs w:val="33"/>
        </w:rPr>
        <w:t>万元，占</w:t>
      </w:r>
      <w:r>
        <w:rPr>
          <w:rFonts w:hint="default" w:ascii="Times New Roman" w:hAnsi="Times New Roman" w:eastAsia="方正仿宋_GBK" w:cs="Times New Roman"/>
          <w:b/>
          <w:bCs/>
          <w:sz w:val="33"/>
          <w:szCs w:val="33"/>
          <w:lang w:val="en-US" w:eastAsia="zh-CN"/>
        </w:rPr>
        <w:t>0</w:t>
      </w:r>
      <w:r>
        <w:rPr>
          <w:rFonts w:hint="default" w:ascii="Times New Roman" w:hAnsi="Times New Roman" w:eastAsia="方正仿宋_GBK" w:cs="Times New Roman"/>
          <w:b/>
          <w:bCs/>
          <w:sz w:val="33"/>
          <w:szCs w:val="33"/>
        </w:rPr>
        <w:t>%</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sz w:val="33"/>
          <w:szCs w:val="33"/>
        </w:rPr>
        <w:t>社会保障和就业</w:t>
      </w:r>
      <w:r>
        <w:rPr>
          <w:rFonts w:hint="default" w:ascii="Times New Roman" w:hAnsi="Times New Roman" w:eastAsia="方正仿宋_GBK" w:cs="Times New Roman"/>
          <w:b/>
          <w:bCs/>
          <w:sz w:val="33"/>
          <w:szCs w:val="33"/>
        </w:rPr>
        <w:t>支出</w:t>
      </w:r>
      <w:r>
        <w:rPr>
          <w:rFonts w:hint="default" w:ascii="Times New Roman" w:hAnsi="Times New Roman" w:eastAsia="方正仿宋_GBK" w:cs="Times New Roman"/>
          <w:sz w:val="33"/>
          <w:szCs w:val="33"/>
          <w:lang w:val="en-US" w:eastAsia="zh-CN"/>
        </w:rPr>
        <w:t>35.05</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7.36</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卫生健康支出</w:t>
      </w:r>
      <w:r>
        <w:rPr>
          <w:rFonts w:hint="default" w:ascii="Times New Roman" w:hAnsi="Times New Roman" w:eastAsia="方正仿宋_GBK" w:cs="Times New Roman"/>
          <w:sz w:val="33"/>
          <w:szCs w:val="33"/>
          <w:lang w:val="en-US" w:eastAsia="zh-CN"/>
        </w:rPr>
        <w:t>17.67</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3.71</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b/>
          <w:bCs/>
          <w:sz w:val="33"/>
          <w:szCs w:val="33"/>
        </w:rPr>
        <w:t>住房保障支出</w:t>
      </w:r>
      <w:r>
        <w:rPr>
          <w:rFonts w:hint="default" w:ascii="Times New Roman" w:hAnsi="Times New Roman" w:eastAsia="方正仿宋_GBK" w:cs="Times New Roman"/>
          <w:sz w:val="33"/>
          <w:szCs w:val="33"/>
          <w:lang w:val="en-US" w:eastAsia="zh-CN"/>
        </w:rPr>
        <w:t>20.94</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sz w:val="33"/>
          <w:szCs w:val="33"/>
          <w:lang w:val="en-US" w:eastAsia="zh-CN"/>
        </w:rPr>
        <w:t>4.39</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（图6：一般公共预算财政拨款支出决算结构）（饼状图）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3640455" cy="2265680"/>
            <wp:effectExtent l="4445" t="4445" r="12700" b="73025"/>
            <wp:docPr id="6" name="图表 6" descr="7b0a202020202263686172745265734964223a202232303437363132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bidi w:val="0"/>
        <w:snapToGrid/>
        <w:spacing w:line="576" w:lineRule="exact"/>
        <w:ind w:firstLine="663" w:firstLineChars="200"/>
        <w:textAlignment w:val="auto"/>
        <w:outlineLvl w:val="9"/>
        <w:rPr>
          <w:rFonts w:hint="eastAsia" w:ascii="方正楷体_GBK" w:hAnsi="方正楷体_GBK" w:eastAsia="方正楷体_GBK" w:cs="方正楷体_GBK"/>
          <w:b/>
          <w:sz w:val="33"/>
          <w:szCs w:val="33"/>
        </w:rPr>
      </w:pPr>
      <w:bookmarkStart w:id="42" w:name="_Toc15377212"/>
      <w:r>
        <w:rPr>
          <w:rFonts w:hint="eastAsia" w:ascii="方正楷体_GBK" w:hAnsi="方正楷体_GBK" w:eastAsia="方正楷体_GBK" w:cs="方正楷体_GBK"/>
          <w:b/>
          <w:sz w:val="33"/>
          <w:szCs w:val="33"/>
        </w:rPr>
        <w:t>（三）一般公共预算财政拨款支出决算具体情况</w:t>
      </w:r>
      <w:bookmarkEnd w:id="42"/>
    </w:p>
    <w:p>
      <w:pPr>
        <w:keepNext w:val="0"/>
        <w:keepLines w:val="0"/>
        <w:pageBreakBefore w:val="0"/>
        <w:widowControl w:val="0"/>
        <w:kinsoku/>
        <w:wordWrap/>
        <w:overflowPunct/>
        <w:topLinePunct w:val="0"/>
        <w:bidi w:val="0"/>
        <w:snapToGrid/>
        <w:spacing w:line="576" w:lineRule="exact"/>
        <w:ind w:firstLine="643" w:firstLineChars="200"/>
        <w:textAlignment w:val="auto"/>
        <w:outlineLvl w:val="9"/>
        <w:rPr>
          <w:rFonts w:hint="default" w:ascii="Times New Roman" w:hAnsi="Times New Roman" w:eastAsia="方正仿宋_GBK" w:cs="Times New Roman"/>
          <w:sz w:val="32"/>
          <w:szCs w:val="32"/>
        </w:rPr>
      </w:pPr>
      <w:bookmarkStart w:id="43" w:name="_Toc15377213"/>
      <w:bookmarkStart w:id="44" w:name="_Toc15378460"/>
      <w:bookmarkStart w:id="45" w:name="_Toc15377444"/>
      <w:r>
        <w:rPr>
          <w:rFonts w:hint="default" w:ascii="Times New Roman" w:hAnsi="Times New Roman" w:eastAsia="方正仿宋_GBK" w:cs="Times New Roman"/>
          <w:b/>
          <w:sz w:val="32"/>
          <w:szCs w:val="32"/>
        </w:rPr>
        <w:t>2023年度一般公共预算支出决算数为476.42</w:t>
      </w:r>
      <w:r>
        <w:rPr>
          <w:rFonts w:hint="default" w:ascii="Times New Roman" w:hAnsi="Times New Roman" w:eastAsia="方正仿宋_GBK" w:cs="Times New Roman"/>
          <w:sz w:val="32"/>
          <w:szCs w:val="32"/>
        </w:rPr>
        <w:t>，</w:t>
      </w:r>
      <w:r>
        <w:rPr>
          <w:rStyle w:val="18"/>
          <w:rFonts w:hint="default" w:ascii="Times New Roman" w:hAnsi="Times New Roman" w:eastAsia="方正仿宋_GBK" w:cs="Times New Roman"/>
          <w:bCs/>
          <w:sz w:val="32"/>
          <w:szCs w:val="32"/>
        </w:rPr>
        <w:t>完成预算</w:t>
      </w:r>
      <w:r>
        <w:rPr>
          <w:rStyle w:val="18"/>
          <w:rFonts w:hint="default" w:ascii="Times New Roman" w:hAnsi="Times New Roman" w:eastAsia="方正仿宋_GBK" w:cs="Times New Roman"/>
          <w:bCs/>
          <w:sz w:val="32"/>
          <w:szCs w:val="32"/>
          <w:lang w:val="en-US" w:eastAsia="zh-CN"/>
        </w:rPr>
        <w:t>100</w:t>
      </w:r>
      <w:r>
        <w:rPr>
          <w:rStyle w:val="18"/>
          <w:rFonts w:hint="default" w:ascii="Times New Roman" w:hAnsi="Times New Roman" w:eastAsia="方正仿宋_GBK" w:cs="Times New Roman"/>
          <w:bCs/>
          <w:sz w:val="32"/>
          <w:szCs w:val="32"/>
        </w:rPr>
        <w:t>%。其中：</w:t>
      </w:r>
      <w:bookmarkEnd w:id="43"/>
      <w:bookmarkEnd w:id="44"/>
      <w:bookmarkEnd w:id="45"/>
    </w:p>
    <w:p>
      <w:pPr>
        <w:keepNext w:val="0"/>
        <w:keepLines w:val="0"/>
        <w:pageBreakBefore w:val="0"/>
        <w:widowControl w:val="0"/>
        <w:kinsoku/>
        <w:wordWrap/>
        <w:overflowPunct/>
        <w:topLinePunct w:val="0"/>
        <w:bidi w:val="0"/>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kern w:val="0"/>
          <w:sz w:val="33"/>
          <w:szCs w:val="33"/>
        </w:rPr>
        <w:t>1.</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b/>
          <w:bCs/>
          <w:sz w:val="33"/>
          <w:szCs w:val="33"/>
        </w:rPr>
        <w:t>一般公共服务（类）纪检监察事务（款）事业运行（项）</w:t>
      </w:r>
      <w:r>
        <w:rPr>
          <w:rFonts w:hint="default" w:ascii="Times New Roman" w:hAnsi="Times New Roman" w:eastAsia="方正仿宋_GBK" w:cs="Times New Roman"/>
          <w:sz w:val="33"/>
          <w:szCs w:val="33"/>
        </w:rPr>
        <w:t>:支出决算数为</w:t>
      </w:r>
      <w:r>
        <w:rPr>
          <w:rFonts w:hint="default" w:ascii="Times New Roman" w:hAnsi="Times New Roman" w:eastAsia="方正仿宋_GBK" w:cs="Times New Roman"/>
          <w:sz w:val="33"/>
          <w:szCs w:val="33"/>
          <w:lang w:val="en-US" w:eastAsia="zh-CN"/>
        </w:rPr>
        <w:t>207.43</w:t>
      </w:r>
      <w:r>
        <w:rPr>
          <w:rFonts w:hint="default" w:ascii="Times New Roman" w:hAnsi="Times New Roman" w:eastAsia="方正仿宋_GBK" w:cs="Times New Roman"/>
          <w:sz w:val="33"/>
          <w:szCs w:val="33"/>
        </w:rPr>
        <w:t>万元，完成预算100%，决算数与预算数持平。</w:t>
      </w:r>
    </w:p>
    <w:p>
      <w:pPr>
        <w:keepNext w:val="0"/>
        <w:keepLines w:val="0"/>
        <w:pageBreakBefore w:val="0"/>
        <w:widowControl w:val="0"/>
        <w:kinsoku/>
        <w:wordWrap/>
        <w:overflowPunct/>
        <w:topLinePunct w:val="0"/>
        <w:bidi w:val="0"/>
        <w:snapToGrid/>
        <w:spacing w:line="576" w:lineRule="exact"/>
        <w:ind w:firstLine="663" w:firstLineChars="200"/>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b/>
          <w:kern w:val="0"/>
          <w:sz w:val="33"/>
          <w:szCs w:val="33"/>
        </w:rPr>
        <w:t>2.</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b/>
          <w:bCs/>
          <w:sz w:val="33"/>
          <w:szCs w:val="33"/>
        </w:rPr>
        <w:t>一般公共服务（类）纪检监察事务（款）其他纪检监察事务支出（项）</w:t>
      </w:r>
      <w:r>
        <w:rPr>
          <w:rFonts w:hint="default" w:ascii="Times New Roman" w:hAnsi="Times New Roman" w:eastAsia="方正仿宋_GBK" w:cs="Times New Roman"/>
          <w:sz w:val="33"/>
          <w:szCs w:val="33"/>
        </w:rPr>
        <w:t>:支出决算数为</w:t>
      </w:r>
      <w:r>
        <w:rPr>
          <w:rFonts w:hint="default" w:ascii="Times New Roman" w:hAnsi="Times New Roman" w:eastAsia="方正仿宋_GBK" w:cs="Times New Roman"/>
          <w:sz w:val="33"/>
          <w:szCs w:val="33"/>
          <w:lang w:val="en-US" w:eastAsia="zh-CN"/>
        </w:rPr>
        <w:t>195.32</w:t>
      </w:r>
      <w:r>
        <w:rPr>
          <w:rFonts w:hint="default" w:ascii="Times New Roman" w:hAnsi="Times New Roman" w:eastAsia="方正仿宋_GBK" w:cs="Times New Roman"/>
          <w:sz w:val="33"/>
          <w:szCs w:val="33"/>
        </w:rPr>
        <w:t>万元，完成预算100%，决算数与预算数持平。</w:t>
      </w:r>
    </w:p>
    <w:p>
      <w:pPr>
        <w:keepNext w:val="0"/>
        <w:keepLines w:val="0"/>
        <w:pageBreakBefore w:val="0"/>
        <w:widowControl w:val="0"/>
        <w:kinsoku/>
        <w:wordWrap/>
        <w:overflowPunct/>
        <w:topLinePunct w:val="0"/>
        <w:bidi w:val="0"/>
        <w:snapToGrid/>
        <w:spacing w:line="576" w:lineRule="exact"/>
        <w:ind w:firstLine="663" w:firstLineChars="200"/>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b/>
          <w:kern w:val="0"/>
          <w:sz w:val="33"/>
          <w:szCs w:val="33"/>
        </w:rPr>
        <w:t>3.</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b/>
          <w:bCs/>
          <w:sz w:val="33"/>
          <w:szCs w:val="33"/>
        </w:rPr>
        <w:t>社会保障和就业（类）行政事业单位养老支出（款）机关事业单位基本养老保险缴费支出（项）</w:t>
      </w:r>
      <w:r>
        <w:rPr>
          <w:rFonts w:hint="default" w:ascii="Times New Roman" w:hAnsi="Times New Roman" w:eastAsia="方正仿宋_GBK" w:cs="Times New Roman"/>
          <w:sz w:val="33"/>
          <w:szCs w:val="33"/>
        </w:rPr>
        <w:t>:支出决算数为</w:t>
      </w:r>
      <w:r>
        <w:rPr>
          <w:rFonts w:hint="default" w:ascii="Times New Roman" w:hAnsi="Times New Roman" w:eastAsia="方正仿宋_GBK" w:cs="Times New Roman"/>
          <w:sz w:val="33"/>
          <w:szCs w:val="33"/>
          <w:lang w:val="en-US" w:eastAsia="zh-CN"/>
        </w:rPr>
        <w:t>35.05</w:t>
      </w:r>
      <w:r>
        <w:rPr>
          <w:rFonts w:hint="default" w:ascii="Times New Roman" w:hAnsi="Times New Roman" w:eastAsia="方正仿宋_GBK" w:cs="Times New Roman"/>
          <w:sz w:val="33"/>
          <w:szCs w:val="33"/>
        </w:rPr>
        <w:t>万元,完成预算100%，决算数与预算数持平。</w:t>
      </w:r>
    </w:p>
    <w:p>
      <w:pPr>
        <w:keepNext w:val="0"/>
        <w:keepLines w:val="0"/>
        <w:pageBreakBefore w:val="0"/>
        <w:widowControl w:val="0"/>
        <w:kinsoku/>
        <w:wordWrap/>
        <w:overflowPunct/>
        <w:topLinePunct w:val="0"/>
        <w:bidi w:val="0"/>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kern w:val="0"/>
          <w:sz w:val="33"/>
          <w:szCs w:val="33"/>
        </w:rPr>
        <w:t>4.</w:t>
      </w:r>
      <w:r>
        <w:rPr>
          <w:rFonts w:hint="default" w:ascii="Times New Roman" w:hAnsi="Times New Roman" w:eastAsia="方正仿宋_GBK" w:cs="Times New Roman"/>
          <w:sz w:val="33"/>
          <w:szCs w:val="33"/>
        </w:rPr>
        <w:t xml:space="preserve"> </w:t>
      </w:r>
      <w:r>
        <w:rPr>
          <w:rFonts w:hint="default" w:ascii="Times New Roman" w:hAnsi="Times New Roman" w:eastAsia="方正仿宋_GBK" w:cs="Times New Roman"/>
          <w:b/>
          <w:bCs/>
          <w:sz w:val="33"/>
          <w:szCs w:val="33"/>
        </w:rPr>
        <w:t>住房保障支出（类）住房改革支出（款）住房公积金（项）</w:t>
      </w:r>
      <w:r>
        <w:rPr>
          <w:rFonts w:hint="default" w:ascii="Times New Roman" w:hAnsi="Times New Roman" w:eastAsia="方正仿宋_GBK" w:cs="Times New Roman"/>
          <w:sz w:val="33"/>
          <w:szCs w:val="33"/>
        </w:rPr>
        <w:t>:支出决算数为</w:t>
      </w:r>
      <w:r>
        <w:rPr>
          <w:rFonts w:hint="default" w:ascii="Times New Roman" w:hAnsi="Times New Roman" w:eastAsia="方正仿宋_GBK" w:cs="Times New Roman"/>
          <w:sz w:val="33"/>
          <w:szCs w:val="33"/>
          <w:lang w:val="en-US" w:eastAsia="zh-CN"/>
        </w:rPr>
        <w:t>20.94</w:t>
      </w:r>
      <w:r>
        <w:rPr>
          <w:rFonts w:hint="default" w:ascii="Times New Roman" w:hAnsi="Times New Roman" w:eastAsia="方正仿宋_GBK" w:cs="Times New Roman"/>
          <w:sz w:val="33"/>
          <w:szCs w:val="33"/>
        </w:rPr>
        <w:t>万元，完成预算100%，决算数与预算数持平。</w:t>
      </w:r>
    </w:p>
    <w:p>
      <w:pPr>
        <w:keepNext w:val="0"/>
        <w:keepLines w:val="0"/>
        <w:pageBreakBefore w:val="0"/>
        <w:widowControl w:val="0"/>
        <w:kinsoku/>
        <w:wordWrap/>
        <w:overflowPunct/>
        <w:topLinePunct w:val="0"/>
        <w:bidi w:val="0"/>
        <w:snapToGrid/>
        <w:spacing w:line="576" w:lineRule="exact"/>
        <w:ind w:firstLine="663" w:firstLineChars="20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kern w:val="0"/>
          <w:sz w:val="33"/>
          <w:szCs w:val="33"/>
          <w:lang w:val="en-US" w:eastAsia="zh-CN"/>
        </w:rPr>
        <w:t>5</w:t>
      </w:r>
      <w:r>
        <w:rPr>
          <w:rFonts w:hint="default" w:ascii="Times New Roman" w:hAnsi="Times New Roman" w:eastAsia="方正仿宋_GBK" w:cs="Times New Roman"/>
          <w:b/>
          <w:kern w:val="0"/>
          <w:sz w:val="33"/>
          <w:szCs w:val="33"/>
        </w:rPr>
        <w:t>.</w:t>
      </w:r>
      <w:r>
        <w:rPr>
          <w:rStyle w:val="18"/>
          <w:rFonts w:hint="default" w:ascii="Times New Roman" w:hAnsi="Times New Roman" w:eastAsia="方正仿宋_GBK" w:cs="Times New Roman"/>
          <w:bCs/>
          <w:sz w:val="33"/>
          <w:szCs w:val="33"/>
          <w:lang w:val="en-US" w:eastAsia="zh-CN"/>
        </w:rPr>
        <w:t xml:space="preserve"> </w:t>
      </w:r>
      <w:r>
        <w:rPr>
          <w:rFonts w:hint="default" w:ascii="Times New Roman" w:hAnsi="Times New Roman" w:eastAsia="方正仿宋_GBK" w:cs="Times New Roman"/>
          <w:b/>
          <w:bCs/>
          <w:sz w:val="33"/>
          <w:szCs w:val="33"/>
        </w:rPr>
        <w:t>卫生健康支出</w:t>
      </w:r>
      <w:r>
        <w:rPr>
          <w:rStyle w:val="18"/>
          <w:rFonts w:hint="default" w:ascii="Times New Roman" w:hAnsi="Times New Roman" w:eastAsia="方正仿宋_GBK" w:cs="Times New Roman"/>
          <w:bCs/>
          <w:sz w:val="33"/>
          <w:szCs w:val="33"/>
        </w:rPr>
        <w:t>（类）行政事业单位医疗（款）事业单位医疗（项）:</w:t>
      </w:r>
      <w:r>
        <w:rPr>
          <w:rStyle w:val="18"/>
          <w:rFonts w:hint="default" w:ascii="Times New Roman" w:hAnsi="Times New Roman" w:eastAsia="方正仿宋_GBK" w:cs="Times New Roman"/>
          <w:b w:val="0"/>
          <w:bCs/>
          <w:sz w:val="33"/>
          <w:szCs w:val="33"/>
        </w:rPr>
        <w:t>支出决算为</w:t>
      </w:r>
      <w:r>
        <w:rPr>
          <w:rStyle w:val="18"/>
          <w:rFonts w:hint="default" w:ascii="Times New Roman" w:hAnsi="Times New Roman" w:eastAsia="方正仿宋_GBK" w:cs="Times New Roman"/>
          <w:b w:val="0"/>
          <w:bCs/>
          <w:sz w:val="33"/>
          <w:szCs w:val="33"/>
          <w:lang w:val="en-US" w:eastAsia="zh-CN"/>
        </w:rPr>
        <w:t>14.87</w:t>
      </w:r>
      <w:r>
        <w:rPr>
          <w:rStyle w:val="18"/>
          <w:rFonts w:hint="default" w:ascii="Times New Roman" w:hAnsi="Times New Roman" w:eastAsia="方正仿宋_GBK" w:cs="Times New Roman"/>
          <w:b w:val="0"/>
          <w:bCs/>
          <w:sz w:val="33"/>
          <w:szCs w:val="33"/>
        </w:rPr>
        <w:t>万元，</w:t>
      </w:r>
      <w:r>
        <w:rPr>
          <w:rFonts w:hint="default" w:ascii="Times New Roman" w:hAnsi="Times New Roman" w:eastAsia="方正仿宋_GBK" w:cs="Times New Roman"/>
          <w:sz w:val="33"/>
          <w:szCs w:val="33"/>
        </w:rPr>
        <w:t>完成预算100%，决算数与预算数持平。</w:t>
      </w:r>
    </w:p>
    <w:p>
      <w:pPr>
        <w:keepNext w:val="0"/>
        <w:keepLines w:val="0"/>
        <w:pageBreakBefore w:val="0"/>
        <w:widowControl w:val="0"/>
        <w:kinsoku/>
        <w:wordWrap/>
        <w:overflowPunct/>
        <w:topLinePunct w:val="0"/>
        <w:bidi w:val="0"/>
        <w:snapToGrid/>
        <w:spacing w:line="576" w:lineRule="exact"/>
        <w:ind w:firstLine="663" w:firstLineChars="20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kern w:val="0"/>
          <w:sz w:val="33"/>
          <w:szCs w:val="33"/>
        </w:rPr>
        <w:t>6.</w:t>
      </w:r>
      <w:r>
        <w:rPr>
          <w:rStyle w:val="18"/>
          <w:rFonts w:hint="default" w:ascii="Times New Roman" w:hAnsi="Times New Roman" w:eastAsia="方正仿宋_GBK" w:cs="Times New Roman"/>
          <w:bCs/>
          <w:sz w:val="33"/>
          <w:szCs w:val="33"/>
          <w:lang w:val="en-US" w:eastAsia="zh-CN"/>
        </w:rPr>
        <w:t xml:space="preserve"> </w:t>
      </w:r>
      <w:r>
        <w:rPr>
          <w:rFonts w:hint="default" w:ascii="Times New Roman" w:hAnsi="Times New Roman" w:eastAsia="方正仿宋_GBK" w:cs="Times New Roman"/>
          <w:b/>
          <w:bCs/>
          <w:sz w:val="33"/>
          <w:szCs w:val="33"/>
        </w:rPr>
        <w:t>卫生健康支出</w:t>
      </w:r>
      <w:r>
        <w:rPr>
          <w:rStyle w:val="18"/>
          <w:rFonts w:hint="default" w:ascii="Times New Roman" w:hAnsi="Times New Roman" w:eastAsia="方正仿宋_GBK" w:cs="Times New Roman"/>
          <w:bCs/>
          <w:sz w:val="33"/>
          <w:szCs w:val="33"/>
        </w:rPr>
        <w:t>（类）行政事业单位医疗（款）公务员医疗补助（项）:</w:t>
      </w:r>
      <w:r>
        <w:rPr>
          <w:rStyle w:val="18"/>
          <w:rFonts w:hint="default" w:ascii="Times New Roman" w:hAnsi="Times New Roman" w:eastAsia="方正仿宋_GBK" w:cs="Times New Roman"/>
          <w:b w:val="0"/>
          <w:bCs/>
          <w:sz w:val="33"/>
          <w:szCs w:val="33"/>
        </w:rPr>
        <w:t>支出决算为</w:t>
      </w:r>
      <w:r>
        <w:rPr>
          <w:rStyle w:val="18"/>
          <w:rFonts w:hint="default" w:ascii="Times New Roman" w:hAnsi="Times New Roman" w:eastAsia="方正仿宋_GBK" w:cs="Times New Roman"/>
          <w:b w:val="0"/>
          <w:bCs/>
          <w:sz w:val="33"/>
          <w:szCs w:val="33"/>
          <w:lang w:val="en-US" w:eastAsia="zh-CN"/>
        </w:rPr>
        <w:t>1.2</w:t>
      </w:r>
      <w:r>
        <w:rPr>
          <w:rStyle w:val="18"/>
          <w:rFonts w:hint="default" w:ascii="Times New Roman" w:hAnsi="Times New Roman" w:eastAsia="方正仿宋_GBK" w:cs="Times New Roman"/>
          <w:b w:val="0"/>
          <w:bCs/>
          <w:sz w:val="33"/>
          <w:szCs w:val="33"/>
        </w:rPr>
        <w:t>万元，</w:t>
      </w:r>
      <w:r>
        <w:rPr>
          <w:rFonts w:hint="default" w:ascii="Times New Roman" w:hAnsi="Times New Roman" w:eastAsia="方正仿宋_GBK" w:cs="Times New Roman"/>
          <w:sz w:val="33"/>
          <w:szCs w:val="33"/>
        </w:rPr>
        <w:t>完成预算100%，决算数与预算数持平。</w:t>
      </w:r>
    </w:p>
    <w:p>
      <w:pPr>
        <w:keepNext w:val="0"/>
        <w:keepLines w:val="0"/>
        <w:pageBreakBefore w:val="0"/>
        <w:widowControl w:val="0"/>
        <w:kinsoku/>
        <w:wordWrap/>
        <w:overflowPunct/>
        <w:topLinePunct w:val="0"/>
        <w:bidi w:val="0"/>
        <w:snapToGrid/>
        <w:spacing w:line="576" w:lineRule="exact"/>
        <w:ind w:firstLine="663" w:firstLineChars="200"/>
        <w:textAlignment w:val="auto"/>
        <w:rPr>
          <w:rFonts w:hint="eastAsia" w:ascii="黑体" w:eastAsia="黑体"/>
          <w:sz w:val="32"/>
          <w:szCs w:val="32"/>
        </w:rPr>
      </w:pPr>
      <w:r>
        <w:rPr>
          <w:rFonts w:hint="default" w:ascii="Times New Roman" w:hAnsi="Times New Roman" w:eastAsia="方正仿宋_GBK" w:cs="Times New Roman"/>
          <w:b/>
          <w:kern w:val="0"/>
          <w:sz w:val="33"/>
          <w:szCs w:val="33"/>
          <w:lang w:val="en-US" w:eastAsia="zh-CN"/>
        </w:rPr>
        <w:t>7</w:t>
      </w:r>
      <w:r>
        <w:rPr>
          <w:rFonts w:hint="default" w:ascii="Times New Roman" w:hAnsi="Times New Roman" w:eastAsia="方正仿宋_GBK" w:cs="Times New Roman"/>
          <w:b/>
          <w:kern w:val="0"/>
          <w:sz w:val="33"/>
          <w:szCs w:val="33"/>
        </w:rPr>
        <w:t>.</w:t>
      </w:r>
      <w:r>
        <w:rPr>
          <w:rFonts w:hint="default" w:ascii="Times New Roman" w:hAnsi="Times New Roman" w:eastAsia="方正仿宋_GBK" w:cs="Times New Roman"/>
          <w:b/>
          <w:kern w:val="0"/>
          <w:sz w:val="33"/>
          <w:szCs w:val="33"/>
          <w:lang w:val="en-US" w:eastAsia="zh-CN"/>
        </w:rPr>
        <w:t xml:space="preserve"> </w:t>
      </w:r>
      <w:r>
        <w:rPr>
          <w:rFonts w:hint="default" w:ascii="Times New Roman" w:hAnsi="Times New Roman" w:eastAsia="方正仿宋_GBK" w:cs="Times New Roman"/>
          <w:b/>
          <w:bCs/>
          <w:sz w:val="33"/>
          <w:szCs w:val="33"/>
        </w:rPr>
        <w:t>卫生健康支出</w:t>
      </w:r>
      <w:r>
        <w:rPr>
          <w:rStyle w:val="18"/>
          <w:rFonts w:hint="default" w:ascii="Times New Roman" w:hAnsi="Times New Roman" w:eastAsia="方正仿宋_GBK" w:cs="Times New Roman"/>
          <w:bCs/>
          <w:sz w:val="33"/>
          <w:szCs w:val="33"/>
        </w:rPr>
        <w:t>（类）行政事业单位医疗（款）其他行政事业单位医疗支出（项）:</w:t>
      </w:r>
      <w:r>
        <w:rPr>
          <w:rStyle w:val="18"/>
          <w:rFonts w:hint="default" w:ascii="Times New Roman" w:hAnsi="Times New Roman" w:eastAsia="方正仿宋_GBK" w:cs="Times New Roman"/>
          <w:b w:val="0"/>
          <w:bCs/>
          <w:sz w:val="33"/>
          <w:szCs w:val="33"/>
        </w:rPr>
        <w:t>支出决算为</w:t>
      </w:r>
      <w:r>
        <w:rPr>
          <w:rStyle w:val="18"/>
          <w:rFonts w:hint="default" w:ascii="Times New Roman" w:hAnsi="Times New Roman" w:eastAsia="方正仿宋_GBK" w:cs="Times New Roman"/>
          <w:b w:val="0"/>
          <w:bCs/>
          <w:sz w:val="33"/>
          <w:szCs w:val="33"/>
          <w:lang w:val="en-US" w:eastAsia="zh-CN"/>
        </w:rPr>
        <w:t>1.6</w:t>
      </w:r>
      <w:r>
        <w:rPr>
          <w:rStyle w:val="18"/>
          <w:rFonts w:hint="default" w:ascii="Times New Roman" w:hAnsi="Times New Roman" w:eastAsia="方正仿宋_GBK" w:cs="Times New Roman"/>
          <w:b w:val="0"/>
          <w:bCs/>
          <w:sz w:val="33"/>
          <w:szCs w:val="33"/>
        </w:rPr>
        <w:t>万元，</w:t>
      </w:r>
      <w:r>
        <w:rPr>
          <w:rFonts w:hint="default" w:ascii="Times New Roman" w:hAnsi="Times New Roman" w:eastAsia="方正仿宋_GBK" w:cs="Times New Roman"/>
          <w:sz w:val="33"/>
          <w:szCs w:val="33"/>
        </w:rPr>
        <w:t>完成预算100%，决算数与预算数持平</w:t>
      </w:r>
      <w:r>
        <w:rPr>
          <w:rFonts w:hint="default" w:ascii="Times New Roman" w:hAnsi="Times New Roman" w:eastAsia="方正仿宋_GBK" w:cs="Times New Roman"/>
          <w:sz w:val="33"/>
          <w:szCs w:val="33"/>
          <w:lang w:eastAsia="zh-CN"/>
        </w:rPr>
        <w:t>。</w:t>
      </w:r>
      <w:bookmarkStart w:id="46" w:name="_Toc15396608"/>
      <w:bookmarkStart w:id="47" w:name="_Toc15377214"/>
    </w:p>
    <w:p>
      <w:pPr>
        <w:keepNext w:val="0"/>
        <w:keepLines w:val="0"/>
        <w:pageBreakBefore w:val="0"/>
        <w:widowControl w:val="0"/>
        <w:tabs>
          <w:tab w:val="right" w:pos="8306"/>
        </w:tabs>
        <w:kinsoku/>
        <w:wordWrap/>
        <w:overflowPunct/>
        <w:topLinePunct w:val="0"/>
        <w:bidi w:val="0"/>
        <w:snapToGrid/>
        <w:spacing w:line="576" w:lineRule="exact"/>
        <w:ind w:firstLine="640"/>
        <w:textAlignment w:val="auto"/>
        <w:outlineLvl w:val="1"/>
        <w:rPr>
          <w:rStyle w:val="29"/>
        </w:rPr>
      </w:pPr>
      <w:bookmarkStart w:id="48" w:name="_Toc18829"/>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46"/>
      <w:bookmarkEnd w:id="47"/>
      <w:bookmarkEnd w:id="48"/>
      <w:r>
        <w:rPr>
          <w:rStyle w:val="29"/>
          <w:rFonts w:ascii="黑体" w:hAnsi="黑体" w:eastAsia="黑体"/>
          <w:b w:val="0"/>
        </w:rPr>
        <w:tab/>
      </w:r>
    </w:p>
    <w:p>
      <w:pPr>
        <w:keepNext w:val="0"/>
        <w:keepLines w:val="0"/>
        <w:pageBreakBefore w:val="0"/>
        <w:widowControl w:val="0"/>
        <w:kinsoku/>
        <w:wordWrap/>
        <w:overflowPunct/>
        <w:topLinePunct w:val="0"/>
        <w:bidi w:val="0"/>
        <w:snapToGrid/>
        <w:spacing w:line="576"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2023年度一般公共预算财政拨款基本支出</w:t>
      </w:r>
      <w:r>
        <w:rPr>
          <w:rFonts w:hint="default" w:ascii="Times New Roman" w:hAnsi="Times New Roman" w:eastAsia="方正仿宋_GBK" w:cs="Times New Roman"/>
          <w:b/>
          <w:sz w:val="32"/>
          <w:szCs w:val="32"/>
        </w:rPr>
        <w:t>281.09</w:t>
      </w:r>
      <w:r>
        <w:rPr>
          <w:rFonts w:hint="default" w:ascii="Times New Roman" w:hAnsi="Times New Roman" w:eastAsia="方正仿宋_GBK" w:cs="Times New Roman"/>
          <w:sz w:val="32"/>
          <w:szCs w:val="32"/>
        </w:rPr>
        <w:t>万元，其中：</w:t>
      </w:r>
    </w:p>
    <w:p>
      <w:pPr>
        <w:keepNext w:val="0"/>
        <w:keepLines w:val="0"/>
        <w:pageBreakBefore w:val="0"/>
        <w:widowControl w:val="0"/>
        <w:kinsoku/>
        <w:wordWrap/>
        <w:overflowPunct/>
        <w:topLinePunct w:val="0"/>
        <w:bidi w:val="0"/>
        <w:snapToGrid/>
        <w:spacing w:line="576" w:lineRule="exact"/>
        <w:ind w:firstLine="64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人员经费</w:t>
      </w:r>
      <w:r>
        <w:rPr>
          <w:rFonts w:hint="default" w:ascii="Times New Roman" w:hAnsi="Times New Roman" w:eastAsia="方正仿宋_GBK" w:cs="Times New Roman"/>
          <w:b/>
          <w:sz w:val="32"/>
          <w:szCs w:val="32"/>
        </w:rPr>
        <w:t>265.01</w:t>
      </w:r>
      <w:r>
        <w:rPr>
          <w:rFonts w:hint="default" w:ascii="Times New Roman" w:hAnsi="Times New Roman" w:eastAsia="方正仿宋_GBK" w:cs="Times New Roman"/>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keepNext w:val="0"/>
        <w:keepLines w:val="0"/>
        <w:pageBreakBefore w:val="0"/>
        <w:widowControl w:val="0"/>
        <w:kinsoku/>
        <w:wordWrap/>
        <w:overflowPunct/>
        <w:topLinePunct w:val="0"/>
        <w:bidi w:val="0"/>
        <w:snapToGrid/>
        <w:spacing w:line="576" w:lineRule="exact"/>
        <w:ind w:firstLine="645"/>
        <w:textAlignment w:val="auto"/>
        <w:rPr>
          <w:rFonts w:ascii="仿宋" w:hAnsi="仿宋" w:eastAsia="仿宋"/>
          <w:b/>
          <w:sz w:val="32"/>
          <w:szCs w:val="32"/>
        </w:rPr>
      </w:pPr>
      <w:r>
        <w:rPr>
          <w:rFonts w:hint="default" w:ascii="Times New Roman" w:hAnsi="Times New Roman" w:eastAsia="方正仿宋_GBK" w:cs="Times New Roman"/>
          <w:sz w:val="32"/>
          <w:szCs w:val="32"/>
        </w:rPr>
        <w:t>公用经费</w:t>
      </w:r>
      <w:r>
        <w:rPr>
          <w:rFonts w:hint="default" w:ascii="Times New Roman" w:hAnsi="Times New Roman" w:eastAsia="方正仿宋_GBK" w:cs="Times New Roman"/>
          <w:b/>
          <w:sz w:val="32"/>
          <w:szCs w:val="32"/>
        </w:rPr>
        <w:t>16.08</w:t>
      </w:r>
      <w:r>
        <w:rPr>
          <w:rFonts w:hint="default" w:ascii="Times New Roman" w:hAnsi="Times New Roman" w:eastAsia="方正仿宋_GBK" w:cs="Times New Roman"/>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29"/>
          <w:rFonts w:ascii="黑体" w:hAnsi="黑体" w:eastAsia="黑体"/>
          <w:b w:val="0"/>
        </w:rPr>
      </w:pPr>
      <w:bookmarkStart w:id="49" w:name="_Toc15396609"/>
      <w:bookmarkStart w:id="50" w:name="_Toc15377215"/>
      <w:bookmarkStart w:id="51" w:name="_Toc1052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49"/>
      <w:bookmarkEnd w:id="50"/>
      <w:bookmarkEnd w:id="51"/>
    </w:p>
    <w:p>
      <w:pPr>
        <w:keepNext w:val="0"/>
        <w:keepLines w:val="0"/>
        <w:pageBreakBefore w:val="0"/>
        <w:widowControl w:val="0"/>
        <w:kinsoku/>
        <w:wordWrap/>
        <w:overflowPunct/>
        <w:topLinePunct w:val="0"/>
        <w:bidi w:val="0"/>
        <w:snapToGrid/>
        <w:spacing w:line="576" w:lineRule="exact"/>
        <w:ind w:firstLine="640"/>
        <w:textAlignment w:val="auto"/>
        <w:outlineLvl w:val="9"/>
        <w:rPr>
          <w:rFonts w:hint="eastAsia" w:ascii="方正楷体_GBK" w:hAnsi="方正楷体_GBK" w:eastAsia="方正楷体_GBK" w:cs="方正楷体_GBK"/>
          <w:b/>
          <w:sz w:val="32"/>
          <w:szCs w:val="32"/>
        </w:rPr>
      </w:pPr>
      <w:bookmarkStart w:id="52" w:name="_Toc15377216"/>
      <w:r>
        <w:rPr>
          <w:rFonts w:hint="eastAsia" w:ascii="方正楷体_GBK" w:hAnsi="方正楷体_GBK" w:eastAsia="方正楷体_GBK" w:cs="方正楷体_GBK"/>
          <w:b/>
          <w:sz w:val="32"/>
          <w:szCs w:val="32"/>
        </w:rPr>
        <w:t>（一）“三公”经费财政拨款支出决算总体情况说明</w:t>
      </w:r>
      <w:bookmarkEnd w:id="52"/>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2023年度“三公”经费财政拨款支出决算为</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万元，完成预算</w:t>
      </w:r>
      <w:r>
        <w:rPr>
          <w:rFonts w:hint="default" w:ascii="Times New Roman" w:hAnsi="Times New Roman" w:eastAsia="方正仿宋_GBK" w:cs="Times New Roman"/>
          <w:b/>
          <w:sz w:val="32"/>
          <w:szCs w:val="32"/>
        </w:rPr>
        <w:t>0</w:t>
      </w:r>
      <w:r>
        <w:rPr>
          <w:rFonts w:hint="default" w:ascii="Times New Roman" w:hAnsi="Times New Roman" w:eastAsia="方正仿宋_GBK" w:cs="Times New Roman"/>
          <w:sz w:val="32"/>
          <w:szCs w:val="32"/>
        </w:rPr>
        <w:t>%，较上年度增加/减少</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万元，增长/下降</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3"/>
          <w:szCs w:val="33"/>
        </w:rPr>
        <w:t>决算数小于预算数的主要原因是我单位严格遵守中央八项规定和省、市十项规定，规范单位接待范围和接待标准，在接待过程中减少不必要的花费，厉行节约。</w:t>
      </w:r>
    </w:p>
    <w:p>
      <w:pPr>
        <w:keepNext w:val="0"/>
        <w:keepLines w:val="0"/>
        <w:pageBreakBefore w:val="0"/>
        <w:widowControl w:val="0"/>
        <w:kinsoku/>
        <w:wordWrap/>
        <w:overflowPunct/>
        <w:topLinePunct w:val="0"/>
        <w:bidi w:val="0"/>
        <w:snapToGrid/>
        <w:spacing w:line="576" w:lineRule="exact"/>
        <w:ind w:firstLine="640"/>
        <w:textAlignment w:val="auto"/>
        <w:outlineLvl w:val="9"/>
        <w:rPr>
          <w:rFonts w:hint="eastAsia" w:ascii="方正楷体_GBK" w:hAnsi="方正楷体_GBK" w:eastAsia="方正楷体_GBK" w:cs="方正楷体_GBK"/>
          <w:b/>
          <w:sz w:val="32"/>
          <w:szCs w:val="32"/>
        </w:rPr>
      </w:pPr>
      <w:bookmarkStart w:id="53" w:name="_Toc15377217"/>
      <w:r>
        <w:rPr>
          <w:rFonts w:hint="eastAsia" w:ascii="方正楷体_GBK" w:hAnsi="方正楷体_GBK" w:eastAsia="方正楷体_GBK" w:cs="方正楷体_GBK"/>
          <w:b/>
          <w:sz w:val="32"/>
          <w:szCs w:val="32"/>
        </w:rPr>
        <w:t>（二）“三公”经费财政拨款支出决算具体情况说明</w:t>
      </w:r>
      <w:bookmarkEnd w:id="53"/>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2023年度“三公”经费财政拨款支出决算中，因公出国（境）费支出决算</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%；公务用车购置及运行维护费支出决算</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%；公务接待费支出决算</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%。具体情况如下：</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（图7：“三公”经费财政拨款支出结构）（饼状图）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宋体"/>
          <w:lang w:eastAsia="zh-CN"/>
        </w:rPr>
      </w:pPr>
      <w:r>
        <w:rPr>
          <w:rFonts w:hint="eastAsia" w:eastAsia="宋体"/>
          <w:lang w:eastAsia="zh-CN"/>
        </w:rPr>
        <w:drawing>
          <wp:inline distT="0" distB="0" distL="114300" distR="114300">
            <wp:extent cx="3797935" cy="2028825"/>
            <wp:effectExtent l="4445" t="4445" r="7620" b="36830"/>
            <wp:docPr id="7" name="图表 7" descr="7b0a202020202263686172745265734964223a20223230343735393532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lang w:val="en-US" w:eastAsia="zh-CN"/>
        </w:rPr>
      </w:pPr>
      <w:bookmarkStart w:id="54" w:name="_Toc15396610"/>
      <w:bookmarkStart w:id="55" w:name="_Toc15377218"/>
      <w:r>
        <w:rPr>
          <w:rFonts w:hint="default" w:ascii="Times New Roman" w:hAnsi="Times New Roman" w:eastAsia="方正仿宋_GBK" w:cs="Times New Roman"/>
          <w:b/>
          <w:sz w:val="33"/>
          <w:szCs w:val="33"/>
        </w:rPr>
        <w:t>1.因公出国（境）经费支出0</w:t>
      </w:r>
      <w:r>
        <w:rPr>
          <w:rFonts w:hint="default" w:ascii="Times New Roman" w:hAnsi="Times New Roman" w:eastAsia="方正仿宋_GBK" w:cs="Times New Roman"/>
          <w:sz w:val="33"/>
          <w:szCs w:val="33"/>
        </w:rPr>
        <w:t>万元，</w:t>
      </w:r>
      <w:r>
        <w:rPr>
          <w:rStyle w:val="18"/>
          <w:rFonts w:hint="default" w:ascii="Times New Roman" w:hAnsi="Times New Roman" w:eastAsia="方正仿宋_GBK" w:cs="Times New Roman"/>
          <w:b w:val="0"/>
          <w:bCs/>
          <w:sz w:val="33"/>
          <w:szCs w:val="33"/>
        </w:rPr>
        <w:t>完成预算</w:t>
      </w:r>
      <w:r>
        <w:rPr>
          <w:rStyle w:val="18"/>
          <w:rFonts w:hint="default" w:ascii="Times New Roman" w:hAnsi="Times New Roman" w:eastAsia="方正仿宋_GBK" w:cs="Times New Roman"/>
          <w:bCs/>
          <w:sz w:val="33"/>
          <w:szCs w:val="33"/>
        </w:rPr>
        <w:t>0</w:t>
      </w:r>
      <w:r>
        <w:rPr>
          <w:rStyle w:val="18"/>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全年安排因公出国（境）团组</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次，出国（境）</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人。因公出国（境）支出决算比2022年增加/减少</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万元，增长/下降</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%。主要原因是</w:t>
      </w:r>
      <w:r>
        <w:rPr>
          <w:rFonts w:hint="default" w:ascii="Times New Roman" w:hAnsi="Times New Roman" w:eastAsia="方正仿宋_GBK" w:cs="Times New Roman"/>
          <w:sz w:val="33"/>
          <w:szCs w:val="33"/>
          <w:lang w:val="en-US" w:eastAsia="zh-CN"/>
        </w:rPr>
        <w:t>未产生因公出国（境）业务。</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2.公务用车购置及运行维护费支出0</w:t>
      </w:r>
      <w:r>
        <w:rPr>
          <w:rFonts w:hint="default" w:ascii="Times New Roman" w:hAnsi="Times New Roman" w:eastAsia="方正仿宋_GBK" w:cs="Times New Roman"/>
          <w:sz w:val="33"/>
          <w:szCs w:val="33"/>
        </w:rPr>
        <w:t>万元,</w:t>
      </w:r>
      <w:r>
        <w:rPr>
          <w:rStyle w:val="18"/>
          <w:rFonts w:hint="default" w:ascii="Times New Roman" w:hAnsi="Times New Roman" w:eastAsia="方正仿宋_GBK" w:cs="Times New Roman"/>
          <w:b w:val="0"/>
          <w:bCs/>
          <w:sz w:val="33"/>
          <w:szCs w:val="33"/>
        </w:rPr>
        <w:t>完成预算</w:t>
      </w:r>
      <w:r>
        <w:rPr>
          <w:rStyle w:val="18"/>
          <w:rFonts w:hint="default" w:ascii="Times New Roman" w:hAnsi="Times New Roman" w:eastAsia="方正仿宋_GBK" w:cs="Times New Roman"/>
          <w:bCs/>
          <w:sz w:val="33"/>
          <w:szCs w:val="33"/>
        </w:rPr>
        <w:t>0</w:t>
      </w:r>
      <w:r>
        <w:rPr>
          <w:rStyle w:val="18"/>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sz w:val="33"/>
          <w:szCs w:val="33"/>
        </w:rPr>
        <w:t>公务用车购置及运行维护费支出决算比2022年度增加/减少</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万元，增长/下降</w:t>
      </w:r>
      <w:r>
        <w:rPr>
          <w:rFonts w:hint="default" w:ascii="Times New Roman" w:hAnsi="Times New Roman" w:eastAsia="方正仿宋_GBK" w:cs="Times New Roman"/>
          <w:sz w:val="33"/>
          <w:szCs w:val="33"/>
          <w:lang w:val="en-US" w:eastAsia="zh-CN"/>
        </w:rPr>
        <w:t>0</w:t>
      </w:r>
      <w:r>
        <w:rPr>
          <w:rFonts w:hint="default" w:ascii="Times New Roman" w:hAnsi="Times New Roman" w:eastAsia="方正仿宋_GBK" w:cs="Times New Roman"/>
          <w:sz w:val="33"/>
          <w:szCs w:val="33"/>
        </w:rPr>
        <w:t>%。主要原因是</w:t>
      </w:r>
      <w:r>
        <w:rPr>
          <w:rFonts w:hint="default" w:ascii="Times New Roman" w:hAnsi="Times New Roman" w:eastAsia="方正仿宋_GBK" w:cs="Times New Roman"/>
          <w:sz w:val="33"/>
          <w:szCs w:val="33"/>
          <w:lang w:val="en-US" w:eastAsia="zh-CN"/>
        </w:rPr>
        <w:t>未产生公务用车购置及运行维护费支出</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b/>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公务用车购置支出0</w:t>
      </w:r>
      <w:r>
        <w:rPr>
          <w:rFonts w:hint="default" w:ascii="Times New Roman" w:hAnsi="Times New Roman" w:eastAsia="方正仿宋_GBK" w:cs="Times New Roman"/>
          <w:sz w:val="33"/>
          <w:szCs w:val="33"/>
        </w:rPr>
        <w:t>万元。全年按规定更新购置公务用车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辆，其中：轿车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万元，越野车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万元，载客汽车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辆、金额</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万元。截至2023年12月31日，单位共有公务用车</w:t>
      </w:r>
      <w:r>
        <w:rPr>
          <w:rFonts w:hint="eastAsia" w:eastAsia="方正仿宋_GBK" w:cs="Times New Roman"/>
          <w:sz w:val="33"/>
          <w:szCs w:val="33"/>
          <w:lang w:val="en-US" w:eastAsia="zh-CN"/>
        </w:rPr>
        <w:t>1</w:t>
      </w:r>
      <w:r>
        <w:rPr>
          <w:rFonts w:hint="default" w:ascii="Times New Roman" w:hAnsi="Times New Roman" w:eastAsia="方正仿宋_GBK" w:cs="Times New Roman"/>
          <w:sz w:val="33"/>
          <w:szCs w:val="33"/>
        </w:rPr>
        <w:t>辆，其中：轿车</w:t>
      </w:r>
      <w:r>
        <w:rPr>
          <w:rFonts w:hint="eastAsia" w:eastAsia="方正仿宋_GBK" w:cs="Times New Roman"/>
          <w:sz w:val="33"/>
          <w:szCs w:val="33"/>
          <w:lang w:val="en-US" w:eastAsia="zh-CN"/>
        </w:rPr>
        <w:t>1</w:t>
      </w:r>
      <w:r>
        <w:rPr>
          <w:rFonts w:hint="default" w:ascii="Times New Roman" w:hAnsi="Times New Roman" w:eastAsia="方正仿宋_GBK" w:cs="Times New Roman"/>
          <w:sz w:val="33"/>
          <w:szCs w:val="33"/>
        </w:rPr>
        <w:t>辆、越野车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辆、载客汽车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公务用车运行维护费支出0</w:t>
      </w:r>
      <w:r>
        <w:rPr>
          <w:rFonts w:hint="default" w:ascii="Times New Roman" w:hAnsi="Times New Roman" w:eastAsia="方正仿宋_GBK" w:cs="Times New Roman"/>
          <w:sz w:val="33"/>
          <w:szCs w:val="33"/>
        </w:rPr>
        <w:t>万元。主要用于参加开展监督检查、调研、办案等所需的公务用车燃料费、维修费、过路过桥费、保险费等支出。</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3.公务接待费支出0</w:t>
      </w:r>
      <w:r>
        <w:rPr>
          <w:rFonts w:hint="default" w:ascii="Times New Roman" w:hAnsi="Times New Roman" w:eastAsia="方正仿宋_GBK" w:cs="Times New Roman"/>
          <w:sz w:val="33"/>
          <w:szCs w:val="33"/>
        </w:rPr>
        <w:t>万元，</w:t>
      </w:r>
      <w:r>
        <w:rPr>
          <w:rStyle w:val="18"/>
          <w:rFonts w:hint="default" w:ascii="Times New Roman" w:hAnsi="Times New Roman" w:eastAsia="方正仿宋_GBK" w:cs="Times New Roman"/>
          <w:b w:val="0"/>
          <w:bCs/>
          <w:sz w:val="33"/>
          <w:szCs w:val="33"/>
        </w:rPr>
        <w:t>完成预算0%。</w:t>
      </w:r>
      <w:r>
        <w:rPr>
          <w:rFonts w:hint="default" w:ascii="Times New Roman" w:hAnsi="Times New Roman" w:eastAsia="方正仿宋_GBK" w:cs="Times New Roman"/>
          <w:sz w:val="33"/>
          <w:szCs w:val="33"/>
        </w:rPr>
        <w:t>公务接待费支出决算比2022年度增加/减少</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万元，增长/下降</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%。主要原因是</w:t>
      </w:r>
      <w:r>
        <w:rPr>
          <w:rFonts w:hint="default" w:ascii="Times New Roman" w:hAnsi="Times New Roman" w:eastAsia="方正仿宋_GBK" w:cs="Times New Roman"/>
          <w:sz w:val="33"/>
          <w:szCs w:val="33"/>
          <w:lang w:val="en-US" w:eastAsia="zh-CN"/>
        </w:rPr>
        <w:t>未产生公务接待费支出</w:t>
      </w:r>
      <w:r>
        <w:rPr>
          <w:rFonts w:hint="default" w:ascii="Times New Roman" w:hAnsi="Times New Roman" w:eastAsia="方正仿宋_GBK" w:cs="Times New Roman"/>
          <w:sz w:val="33"/>
          <w:szCs w:val="33"/>
        </w:rPr>
        <w:t>。其中：</w:t>
      </w:r>
    </w:p>
    <w:p>
      <w:pPr>
        <w:keepNext w:val="0"/>
        <w:keepLines w:val="0"/>
        <w:pageBreakBefore w:val="0"/>
        <w:widowControl w:val="0"/>
        <w:kinsoku/>
        <w:wordWrap/>
        <w:overflowPunct/>
        <w:topLinePunct w:val="0"/>
        <w:bidi w:val="0"/>
        <w:snapToGrid/>
        <w:spacing w:line="576" w:lineRule="exact"/>
        <w:ind w:firstLine="64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国内公务接待支出0</w:t>
      </w:r>
      <w:r>
        <w:rPr>
          <w:rFonts w:hint="default" w:ascii="Times New Roman" w:hAnsi="Times New Roman" w:eastAsia="方正仿宋_GBK" w:cs="Times New Roman"/>
          <w:sz w:val="33"/>
          <w:szCs w:val="33"/>
        </w:rPr>
        <w:t>万元，主要用于纪检监察相关工作开展、执行公务、开展业务活动开支的交通费、住宿费、用餐费等。国内公务接待</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批次，</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人次（不包括陪同人员），共计支出</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万元</w:t>
      </w:r>
      <w:r>
        <w:rPr>
          <w:rFonts w:hint="default" w:ascii="Times New Roman" w:hAnsi="Times New Roman" w:eastAsia="方正仿宋_GBK" w:cs="Times New Roman"/>
          <w:sz w:val="33"/>
          <w:szCs w:val="33"/>
          <w:lang w:eastAsia="zh-CN"/>
        </w:rPr>
        <w:t>。</w:t>
      </w:r>
    </w:p>
    <w:p>
      <w:pPr>
        <w:keepNext w:val="0"/>
        <w:keepLines w:val="0"/>
        <w:pageBreakBefore w:val="0"/>
        <w:widowControl w:val="0"/>
        <w:kinsoku/>
        <w:wordWrap/>
        <w:overflowPunct/>
        <w:topLinePunct w:val="0"/>
        <w:bidi w:val="0"/>
        <w:snapToGrid/>
        <w:spacing w:line="576" w:lineRule="exact"/>
        <w:ind w:firstLine="663"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外事接待支出</w:t>
      </w:r>
      <w:r>
        <w:rPr>
          <w:rFonts w:hint="default" w:ascii="Times New Roman" w:hAnsi="Times New Roman" w:eastAsia="方正仿宋_GBK" w:cs="Times New Roman"/>
          <w:sz w:val="33"/>
          <w:szCs w:val="33"/>
        </w:rPr>
        <w:t>0万元，主要用于接待境外来工作接待。外事接待0批次，0人次（不包括陪同人员），共计支出0万元。</w:t>
      </w:r>
    </w:p>
    <w:p>
      <w:pPr>
        <w:keepNext w:val="0"/>
        <w:keepLines w:val="0"/>
        <w:pageBreakBefore w:val="0"/>
        <w:widowControl w:val="0"/>
        <w:kinsoku/>
        <w:wordWrap/>
        <w:overflowPunct/>
        <w:topLinePunct w:val="0"/>
        <w:bidi w:val="0"/>
        <w:snapToGrid/>
        <w:spacing w:line="576" w:lineRule="exact"/>
        <w:ind w:firstLine="640"/>
        <w:textAlignment w:val="auto"/>
        <w:outlineLvl w:val="1"/>
        <w:rPr>
          <w:rStyle w:val="29"/>
          <w:rFonts w:ascii="黑体" w:hAnsi="黑体" w:eastAsia="黑体"/>
          <w:sz w:val="33"/>
          <w:szCs w:val="33"/>
        </w:rPr>
      </w:pPr>
      <w:bookmarkStart w:id="56" w:name="_Toc31417"/>
      <w:r>
        <w:rPr>
          <w:rFonts w:hint="eastAsia" w:ascii="黑体" w:eastAsia="黑体"/>
          <w:sz w:val="33"/>
          <w:szCs w:val="33"/>
        </w:rPr>
        <w:t>八、</w:t>
      </w:r>
      <w:r>
        <w:rPr>
          <w:rStyle w:val="29"/>
          <w:rFonts w:hint="eastAsia" w:ascii="黑体" w:hAnsi="黑体" w:eastAsia="黑体"/>
          <w:b w:val="0"/>
          <w:sz w:val="33"/>
          <w:szCs w:val="33"/>
        </w:rPr>
        <w:t>政府性基金预算支出决算情况说明</w:t>
      </w:r>
      <w:bookmarkEnd w:id="54"/>
      <w:bookmarkEnd w:id="55"/>
      <w:bookmarkEnd w:id="56"/>
    </w:p>
    <w:p>
      <w:pPr>
        <w:keepNext w:val="0"/>
        <w:keepLines w:val="0"/>
        <w:pageBreakBefore w:val="0"/>
        <w:widowControl w:val="0"/>
        <w:kinsoku/>
        <w:wordWrap/>
        <w:overflowPunct/>
        <w:topLinePunct w:val="0"/>
        <w:bidi w:val="0"/>
        <w:snapToGrid/>
        <w:spacing w:line="576" w:lineRule="exact"/>
        <w:ind w:firstLine="640"/>
        <w:textAlignment w:val="auto"/>
        <w:rPr>
          <w:rFonts w:ascii="仿宋_GB2312" w:eastAsia="仿宋_GB2312"/>
          <w:sz w:val="33"/>
          <w:szCs w:val="33"/>
        </w:rPr>
      </w:pPr>
      <w:r>
        <w:rPr>
          <w:rFonts w:hint="default" w:ascii="Times New Roman" w:hAnsi="Times New Roman" w:eastAsia="方正仿宋_GBK" w:cs="Times New Roman"/>
          <w:sz w:val="33"/>
          <w:szCs w:val="33"/>
        </w:rPr>
        <w:t>2023年度政府性基金预算财政拨款支出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w:t>
      </w:r>
    </w:p>
    <w:p>
      <w:pPr>
        <w:keepNext w:val="0"/>
        <w:keepLines w:val="0"/>
        <w:pageBreakBefore w:val="0"/>
        <w:widowControl w:val="0"/>
        <w:numPr>
          <w:ilvl w:val="0"/>
          <w:numId w:val="2"/>
        </w:numPr>
        <w:kinsoku/>
        <w:wordWrap/>
        <w:overflowPunct/>
        <w:topLinePunct w:val="0"/>
        <w:bidi w:val="0"/>
        <w:snapToGrid/>
        <w:spacing w:line="576" w:lineRule="exact"/>
        <w:ind w:firstLine="640"/>
        <w:textAlignment w:val="auto"/>
        <w:outlineLvl w:val="1"/>
        <w:rPr>
          <w:rStyle w:val="29"/>
          <w:rFonts w:ascii="黑体" w:hAnsi="黑体" w:eastAsia="黑体"/>
          <w:b w:val="0"/>
          <w:sz w:val="33"/>
          <w:szCs w:val="33"/>
        </w:rPr>
      </w:pPr>
      <w:bookmarkStart w:id="57" w:name="_Toc15377219"/>
      <w:bookmarkStart w:id="58" w:name="_Toc15396611"/>
      <w:bookmarkStart w:id="59" w:name="_Toc15852"/>
      <w:r>
        <w:rPr>
          <w:rStyle w:val="29"/>
          <w:rFonts w:hint="eastAsia" w:ascii="黑体" w:hAnsi="黑体" w:eastAsia="黑体"/>
          <w:b w:val="0"/>
          <w:sz w:val="33"/>
          <w:szCs w:val="33"/>
        </w:rPr>
        <w:t>国有资本经营预算支出决算情况说明</w:t>
      </w:r>
      <w:bookmarkEnd w:id="57"/>
      <w:bookmarkEnd w:id="58"/>
      <w:bookmarkEnd w:id="59"/>
    </w:p>
    <w:p>
      <w:pPr>
        <w:keepNext w:val="0"/>
        <w:keepLines w:val="0"/>
        <w:pageBreakBefore w:val="0"/>
        <w:widowControl w:val="0"/>
        <w:kinsoku/>
        <w:wordWrap/>
        <w:overflowPunct/>
        <w:topLinePunct w:val="0"/>
        <w:bidi w:val="0"/>
        <w:snapToGrid/>
        <w:spacing w:line="576" w:lineRule="exact"/>
        <w:ind w:firstLine="640"/>
        <w:textAlignment w:val="auto"/>
        <w:rPr>
          <w:rFonts w:ascii="方正小标宋简体" w:hAnsi="方正小标宋简体" w:eastAsia="方正小标宋简体" w:cs="方正小标宋简体"/>
          <w:sz w:val="33"/>
          <w:szCs w:val="33"/>
        </w:rPr>
      </w:pPr>
      <w:r>
        <w:rPr>
          <w:rFonts w:hint="default" w:ascii="Times New Roman" w:hAnsi="Times New Roman" w:eastAsia="方正仿宋_GBK" w:cs="Times New Roman"/>
          <w:sz w:val="33"/>
          <w:szCs w:val="33"/>
        </w:rPr>
        <w:t>2023年度国有资本经营预算财政拨款支出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w:t>
      </w:r>
    </w:p>
    <w:p>
      <w:pPr>
        <w:keepNext w:val="0"/>
        <w:keepLines w:val="0"/>
        <w:pageBreakBefore w:val="0"/>
        <w:widowControl w:val="0"/>
        <w:numPr>
          <w:ilvl w:val="0"/>
          <w:numId w:val="2"/>
        </w:numPr>
        <w:kinsoku/>
        <w:wordWrap/>
        <w:overflowPunct/>
        <w:topLinePunct w:val="0"/>
        <w:bidi w:val="0"/>
        <w:snapToGrid/>
        <w:spacing w:line="576" w:lineRule="exact"/>
        <w:ind w:firstLine="640"/>
        <w:textAlignment w:val="auto"/>
        <w:outlineLvl w:val="1"/>
        <w:rPr>
          <w:rStyle w:val="29"/>
          <w:rFonts w:ascii="黑体" w:hAnsi="黑体" w:eastAsia="黑体"/>
          <w:b w:val="0"/>
          <w:sz w:val="33"/>
          <w:szCs w:val="33"/>
        </w:rPr>
      </w:pPr>
      <w:bookmarkStart w:id="60" w:name="_Toc29038"/>
      <w:bookmarkStart w:id="61" w:name="_Toc15396612"/>
      <w:bookmarkStart w:id="62" w:name="_Toc15377221"/>
      <w:r>
        <w:rPr>
          <w:rStyle w:val="29"/>
          <w:rFonts w:hint="eastAsia" w:ascii="黑体" w:hAnsi="黑体" w:eastAsia="黑体"/>
          <w:b w:val="0"/>
          <w:sz w:val="33"/>
          <w:szCs w:val="33"/>
        </w:rPr>
        <w:t>其他重要事项的情况说明</w:t>
      </w:r>
      <w:bookmarkEnd w:id="60"/>
      <w:bookmarkEnd w:id="61"/>
      <w:bookmarkEnd w:id="62"/>
    </w:p>
    <w:p>
      <w:pPr>
        <w:keepNext w:val="0"/>
        <w:keepLines w:val="0"/>
        <w:pageBreakBefore w:val="0"/>
        <w:widowControl w:val="0"/>
        <w:kinsoku/>
        <w:wordWrap/>
        <w:overflowPunct/>
        <w:topLinePunct w:val="0"/>
        <w:bidi w:val="0"/>
        <w:snapToGrid/>
        <w:spacing w:line="576" w:lineRule="exact"/>
        <w:ind w:firstLine="663" w:firstLineChars="200"/>
        <w:textAlignment w:val="auto"/>
        <w:outlineLvl w:val="9"/>
        <w:rPr>
          <w:rFonts w:hint="eastAsia" w:ascii="方正楷体_GBK" w:hAnsi="方正楷体_GBK" w:eastAsia="方正楷体_GBK" w:cs="方正楷体_GBK"/>
          <w:b/>
          <w:bCs w:val="0"/>
          <w:sz w:val="33"/>
          <w:szCs w:val="33"/>
        </w:rPr>
      </w:pPr>
      <w:bookmarkStart w:id="63" w:name="_Toc15377222"/>
      <w:r>
        <w:rPr>
          <w:rFonts w:hint="eastAsia" w:ascii="方正楷体_GBK" w:hAnsi="方正楷体_GBK" w:eastAsia="方正楷体_GBK" w:cs="方正楷体_GBK"/>
          <w:b/>
          <w:bCs w:val="0"/>
          <w:sz w:val="33"/>
          <w:szCs w:val="33"/>
        </w:rPr>
        <w:t>（一）机关运行经费支出情况</w:t>
      </w:r>
      <w:bookmarkEnd w:id="63"/>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w:t>
      </w:r>
      <w:r>
        <w:rPr>
          <w:rFonts w:hint="default" w:ascii="Times New Roman" w:hAnsi="Times New Roman" w:eastAsia="方正仿宋_GBK" w:cs="Times New Roman"/>
          <w:b/>
          <w:bCs/>
          <w:sz w:val="33"/>
          <w:szCs w:val="33"/>
        </w:rPr>
        <w:t>攀枝花市纪检监察教育培训与信息中心</w:t>
      </w:r>
      <w:r>
        <w:rPr>
          <w:rFonts w:hint="default" w:ascii="Times New Roman" w:hAnsi="Times New Roman" w:eastAsia="方正仿宋_GBK" w:cs="Times New Roman"/>
          <w:sz w:val="33"/>
          <w:szCs w:val="33"/>
        </w:rPr>
        <w:t>机关运行经费支出0万元，与202</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年决算数持平。</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63" w:firstLineChars="200"/>
        <w:jc w:val="left"/>
        <w:textAlignment w:val="auto"/>
        <w:outlineLvl w:val="9"/>
        <w:rPr>
          <w:rFonts w:hint="eastAsia" w:ascii="方正楷体_GBK" w:hAnsi="方正楷体_GBK" w:eastAsia="方正楷体_GBK" w:cs="方正楷体_GBK"/>
          <w:b/>
          <w:bCs w:val="0"/>
          <w:sz w:val="33"/>
          <w:szCs w:val="33"/>
        </w:rPr>
      </w:pPr>
      <w:bookmarkStart w:id="64" w:name="_Toc15377223"/>
      <w:r>
        <w:rPr>
          <w:rFonts w:hint="eastAsia" w:ascii="方正楷体_GBK" w:hAnsi="方正楷体_GBK" w:eastAsia="方正楷体_GBK" w:cs="方正楷体_GBK"/>
          <w:b/>
          <w:bCs w:val="0"/>
          <w:sz w:val="33"/>
          <w:szCs w:val="33"/>
        </w:rPr>
        <w:t>（二）政府采购支出情况</w:t>
      </w:r>
      <w:bookmarkEnd w:id="64"/>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2023年度，</w:t>
      </w:r>
      <w:r>
        <w:rPr>
          <w:rFonts w:hint="default" w:ascii="Times New Roman" w:hAnsi="Times New Roman" w:eastAsia="方正仿宋_GBK" w:cs="Times New Roman"/>
          <w:b/>
          <w:sz w:val="33"/>
          <w:szCs w:val="33"/>
        </w:rPr>
        <w:t>攀枝花市纪检监察教育培训与信息中心</w:t>
      </w:r>
      <w:r>
        <w:rPr>
          <w:rFonts w:hint="default" w:ascii="Times New Roman" w:hAnsi="Times New Roman" w:eastAsia="方正仿宋_GBK" w:cs="Times New Roman"/>
          <w:sz w:val="33"/>
          <w:szCs w:val="33"/>
        </w:rPr>
        <w:t>政府采购支出总额</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万元，其中：政府采购货物支出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万元、政府采购工程支出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万元、政府采购服务支出</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万元。授予中小企业合同金额</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万元，占政府采购支出总额的0%，其中：授予小微企业合同金额</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万元，占政府采购支出总额的</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63" w:firstLineChars="200"/>
        <w:jc w:val="left"/>
        <w:textAlignment w:val="auto"/>
        <w:outlineLvl w:val="9"/>
        <w:rPr>
          <w:rFonts w:hint="eastAsia" w:ascii="方正楷体_GBK" w:hAnsi="方正楷体_GBK" w:eastAsia="方正楷体_GBK" w:cs="方正楷体_GBK"/>
          <w:b/>
          <w:bCs w:val="0"/>
          <w:sz w:val="33"/>
          <w:szCs w:val="33"/>
        </w:rPr>
      </w:pPr>
      <w:bookmarkStart w:id="65" w:name="_Toc15377224"/>
      <w:r>
        <w:rPr>
          <w:rFonts w:hint="eastAsia" w:ascii="方正楷体_GBK" w:hAnsi="方正楷体_GBK" w:eastAsia="方正楷体_GBK" w:cs="方正楷体_GBK"/>
          <w:b/>
          <w:bCs w:val="0"/>
          <w:sz w:val="33"/>
          <w:szCs w:val="33"/>
        </w:rPr>
        <w:t>（三）国有资产占有使用情况</w:t>
      </w:r>
      <w:bookmarkEnd w:id="65"/>
    </w:p>
    <w:p>
      <w:pPr>
        <w:keepNext w:val="0"/>
        <w:keepLines w:val="0"/>
        <w:pageBreakBefore w:val="0"/>
        <w:widowControl w:val="0"/>
        <w:kinsoku/>
        <w:wordWrap/>
        <w:overflowPunct/>
        <w:topLinePunct w:val="0"/>
        <w:autoSpaceDE w:val="0"/>
        <w:autoSpaceDN w:val="0"/>
        <w:bidi w:val="0"/>
        <w:adjustRightInd w:val="0"/>
        <w:snapToGrid/>
        <w:spacing w:line="576" w:lineRule="exact"/>
        <w:ind w:firstLine="66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截至2023年12月31日，</w:t>
      </w:r>
      <w:r>
        <w:rPr>
          <w:rFonts w:hint="default" w:ascii="Times New Roman" w:hAnsi="Times New Roman" w:eastAsia="方正仿宋_GBK" w:cs="Times New Roman"/>
          <w:b/>
          <w:sz w:val="33"/>
          <w:szCs w:val="33"/>
        </w:rPr>
        <w:t>攀枝花市纪检监察教育培训与信息中心</w:t>
      </w:r>
      <w:r>
        <w:rPr>
          <w:rFonts w:hint="default" w:ascii="Times New Roman" w:hAnsi="Times New Roman" w:eastAsia="方正仿宋_GBK" w:cs="Times New Roman"/>
          <w:sz w:val="33"/>
          <w:szCs w:val="33"/>
        </w:rPr>
        <w:t>共有车辆</w:t>
      </w:r>
      <w:r>
        <w:rPr>
          <w:rFonts w:hint="default" w:ascii="Times New Roman" w:hAnsi="Times New Roman" w:eastAsia="方正仿宋_GBK" w:cs="Times New Roman"/>
          <w:b/>
          <w:sz w:val="33"/>
          <w:szCs w:val="33"/>
          <w:lang w:val="en-US" w:eastAsia="zh-CN"/>
        </w:rPr>
        <w:t>0</w:t>
      </w:r>
      <w:r>
        <w:rPr>
          <w:rFonts w:hint="default" w:ascii="Times New Roman" w:hAnsi="Times New Roman" w:eastAsia="方正仿宋_GBK" w:cs="Times New Roman"/>
          <w:sz w:val="33"/>
          <w:szCs w:val="33"/>
        </w:rPr>
        <w:t>辆，其中：主要领导干部用车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辆、机要通信用车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辆、应急保障用车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辆、其他用车</w:t>
      </w:r>
      <w:r>
        <w:rPr>
          <w:rFonts w:hint="default" w:ascii="Times New Roman" w:hAnsi="Times New Roman" w:eastAsia="方正仿宋_GBK" w:cs="Times New Roman"/>
          <w:sz w:val="33"/>
          <w:szCs w:val="33"/>
          <w:lang w:eastAsia="zh-CN"/>
        </w:rPr>
        <w:t>0</w:t>
      </w:r>
      <w:r>
        <w:rPr>
          <w:rFonts w:hint="default" w:ascii="Times New Roman" w:hAnsi="Times New Roman" w:eastAsia="方正仿宋_GBK" w:cs="Times New Roman"/>
          <w:sz w:val="33"/>
          <w:szCs w:val="33"/>
        </w:rPr>
        <w:t>辆</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单价100万元以上设备（不含车辆）</w:t>
      </w:r>
      <w:r>
        <w:rPr>
          <w:rFonts w:hint="default" w:ascii="Times New Roman" w:hAnsi="Times New Roman" w:eastAsia="方正仿宋_GBK" w:cs="Times New Roman"/>
          <w:b/>
          <w:sz w:val="33"/>
          <w:szCs w:val="33"/>
        </w:rPr>
        <w:t>0</w:t>
      </w:r>
      <w:r>
        <w:rPr>
          <w:rFonts w:hint="default" w:ascii="Times New Roman" w:hAnsi="Times New Roman" w:eastAsia="方正仿宋_GBK" w:cs="Times New Roman"/>
          <w:sz w:val="33"/>
          <w:szCs w:val="33"/>
        </w:rPr>
        <w:t>台（套）。</w:t>
      </w:r>
    </w:p>
    <w:p>
      <w:pPr>
        <w:keepNext w:val="0"/>
        <w:keepLines w:val="0"/>
        <w:pageBreakBefore w:val="0"/>
        <w:widowControl w:val="0"/>
        <w:kinsoku/>
        <w:wordWrap/>
        <w:overflowPunct/>
        <w:topLinePunct w:val="0"/>
        <w:autoSpaceDE w:val="0"/>
        <w:autoSpaceDN w:val="0"/>
        <w:bidi w:val="0"/>
        <w:adjustRightInd w:val="0"/>
        <w:snapToGrid/>
        <w:spacing w:line="576" w:lineRule="exact"/>
        <w:ind w:firstLine="663" w:firstLineChars="200"/>
        <w:jc w:val="left"/>
        <w:textAlignment w:val="auto"/>
        <w:outlineLvl w:val="9"/>
        <w:rPr>
          <w:rFonts w:hint="eastAsia" w:ascii="方正楷体_GBK" w:hAnsi="方正楷体_GBK" w:eastAsia="方正楷体_GBK" w:cs="方正楷体_GBK"/>
          <w:b/>
          <w:bCs w:val="0"/>
          <w:sz w:val="33"/>
          <w:szCs w:val="33"/>
        </w:rPr>
      </w:pPr>
      <w:r>
        <w:rPr>
          <w:rFonts w:hint="eastAsia" w:ascii="方正楷体_GBK" w:hAnsi="方正楷体_GBK" w:eastAsia="方正楷体_GBK" w:cs="方正楷体_GBK"/>
          <w:b/>
          <w:bCs w:val="0"/>
          <w:sz w:val="33"/>
          <w:szCs w:val="33"/>
        </w:rPr>
        <w:t>（四）预算绩效管理情况</w:t>
      </w:r>
    </w:p>
    <w:p>
      <w:pPr>
        <w:keepNext w:val="0"/>
        <w:keepLines w:val="0"/>
        <w:pageBreakBefore w:val="0"/>
        <w:widowControl w:val="0"/>
        <w:kinsoku/>
        <w:wordWrap/>
        <w:overflowPunct/>
        <w:topLinePunct w:val="0"/>
        <w:bidi w:val="0"/>
        <w:snapToGrid/>
        <w:spacing w:line="576"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根据预算绩效管理要求，本单位在2023年度预算编制阶段，组织对留置中心运行维护费</w:t>
      </w:r>
      <w:r>
        <w:rPr>
          <w:rFonts w:hint="default" w:ascii="Times New Roman" w:hAnsi="Times New Roman" w:eastAsia="方正仿宋_GBK" w:cs="Times New Roman"/>
          <w:sz w:val="33"/>
          <w:szCs w:val="33"/>
          <w:lang w:val="en-US" w:eastAsia="zh-CN"/>
        </w:rPr>
        <w:t>项目</w:t>
      </w:r>
      <w:r>
        <w:rPr>
          <w:rFonts w:hint="default" w:ascii="Times New Roman" w:hAnsi="Times New Roman" w:eastAsia="方正仿宋_GBK" w:cs="Times New Roman"/>
          <w:sz w:val="33"/>
          <w:szCs w:val="33"/>
        </w:rPr>
        <w:t>等</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个项目开展了预算事前绩效评估，对</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个项目编制了绩效目标，预算执行过程中，选取</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个项目开展绩效监控，组织对</w:t>
      </w:r>
      <w:r>
        <w:rPr>
          <w:rFonts w:hint="default" w:ascii="Times New Roman" w:hAnsi="Times New Roman" w:eastAsia="方正仿宋_GBK" w:cs="Times New Roman"/>
          <w:sz w:val="33"/>
          <w:szCs w:val="33"/>
          <w:lang w:val="en-US" w:eastAsia="zh-CN"/>
        </w:rPr>
        <w:t>2</w:t>
      </w:r>
      <w:r>
        <w:rPr>
          <w:rFonts w:hint="default" w:ascii="Times New Roman" w:hAnsi="Times New Roman" w:eastAsia="方正仿宋_GBK" w:cs="Times New Roman"/>
          <w:sz w:val="33"/>
          <w:szCs w:val="33"/>
        </w:rPr>
        <w:t>个项目开展绩效自评，绩效自评表详见第四部分附件。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br w:type="page"/>
      </w:r>
    </w:p>
    <w:p>
      <w:pPr>
        <w:numPr>
          <w:ilvl w:val="0"/>
          <w:numId w:val="3"/>
        </w:numPr>
        <w:spacing w:line="600" w:lineRule="exact"/>
        <w:ind w:firstLine="660" w:firstLineChars="150"/>
        <w:jc w:val="center"/>
        <w:outlineLvl w:val="0"/>
        <w:rPr>
          <w:rStyle w:val="28"/>
          <w:rFonts w:ascii="黑体" w:hAnsi="黑体" w:eastAsia="黑体"/>
          <w:b w:val="0"/>
        </w:rPr>
      </w:pPr>
      <w:bookmarkStart w:id="66" w:name="_Toc12299"/>
      <w:bookmarkStart w:id="67" w:name="_Toc15377225"/>
      <w:bookmarkStart w:id="68" w:name="_Toc15396613"/>
      <w:r>
        <w:rPr>
          <w:rFonts w:hint="eastAsia" w:ascii="黑体" w:hAnsi="黑体" w:eastAsia="黑体"/>
          <w:sz w:val="44"/>
          <w:szCs w:val="44"/>
        </w:rPr>
        <w:t>名</w:t>
      </w:r>
      <w:r>
        <w:rPr>
          <w:rStyle w:val="28"/>
          <w:rFonts w:hint="eastAsia" w:ascii="黑体" w:hAnsi="黑体" w:eastAsia="黑体"/>
          <w:b w:val="0"/>
        </w:rPr>
        <w:t>词解释</w:t>
      </w:r>
      <w:bookmarkEnd w:id="66"/>
      <w:bookmarkEnd w:id="67"/>
      <w:bookmarkEnd w:id="68"/>
    </w:p>
    <w:p>
      <w:pPr>
        <w:spacing w:line="600" w:lineRule="exact"/>
        <w:jc w:val="left"/>
        <w:rPr>
          <w:rFonts w:ascii="宋体"/>
          <w:b/>
          <w:sz w:val="44"/>
          <w:szCs w:val="44"/>
        </w:rPr>
      </w:pPr>
    </w:p>
    <w:p>
      <w:pPr>
        <w:spacing w:line="576" w:lineRule="exact"/>
        <w:ind w:firstLine="640"/>
        <w:outlineLvl w:val="9"/>
        <w:rPr>
          <w:rFonts w:hint="default" w:ascii="Times New Roman" w:hAnsi="Times New Roman" w:eastAsia="方正仿宋_GBK" w:cs="Times New Roman"/>
          <w:sz w:val="33"/>
          <w:szCs w:val="33"/>
        </w:rPr>
      </w:pPr>
      <w:bookmarkStart w:id="69" w:name="_Toc15377226"/>
      <w:r>
        <w:rPr>
          <w:rFonts w:hint="default" w:ascii="Times New Roman" w:hAnsi="Times New Roman" w:eastAsia="方正仿宋_GBK" w:cs="Times New Roman"/>
          <w:sz w:val="33"/>
          <w:szCs w:val="33"/>
        </w:rPr>
        <w:t>1．财政拨款收入：指单位从同级财政部门取得的财政预算资金。</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2．事业收入：指事业单位开展专业业务活动及辅助活动取得的收入。</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3．经营收入：指事业单位在专业业务活动及其辅助活动之外开展非独立核算经营活动取得的收入。</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4．其他收入：指单位取得的除上述收入以外的各项收入。主要是单位的存款利息收入等。</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6．年初结转和结余：指以前年度尚未完成、结转到本年按有关规定继续使用的资金。 </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7．结余分配：指事业单位按照事业单位会计制度的规定从非财政补助结余中分配的事业基金和职工福利基金等。</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8．年末结转和结余：指单位按有关规定结转到下年或以后年度继续使用的资金。</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9．一般公共服务（类）纪检监察事务（款）其他纪检监察事务支出（项）：指其他纪检监察事务方面的支出。 </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10．社会保障和就业（类）行政事业单位养老支出（款）机关事业单位基本养老保险缴费支出（项）：指机关事业单位并轨后基本养老保险缴费支出。</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11．一般公共服务（类）纪检监察事务（款）事业运行（项）：指事业单位的职工基本工资、津贴补贴等人员经费的发放，以及事业单位的基本支出。</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12．卫生健康支出（类）行政事业单位医疗（款）事业单位医疗（项）</w:t>
      </w:r>
      <w:r>
        <w:rPr>
          <w:rFonts w:hint="default" w:ascii="Times New Roman" w:hAnsi="Times New Roman" w:eastAsia="方正仿宋_GBK" w:cs="Times New Roman"/>
          <w:b/>
          <w:sz w:val="33"/>
          <w:szCs w:val="33"/>
        </w:rPr>
        <w:t>:</w:t>
      </w:r>
      <w:r>
        <w:rPr>
          <w:rFonts w:hint="default" w:ascii="Times New Roman" w:hAnsi="Times New Roman" w:eastAsia="方正仿宋_GBK" w:cs="Times New Roman"/>
          <w:sz w:val="33"/>
          <w:szCs w:val="33"/>
        </w:rPr>
        <w:t>指单位职工其他医疗保障支出。</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13．住房保障支出（类）住房改革支出（款）住房公积金（项）：指职工住房公积金支出。</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16．基本支出：指为保障机构正常运转、完成日常工作任务而发生的人员支出和公用支出。</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17．项目支出：指在基本支出之外为完成特定行政任务和事业发展目标所发生的支出。 </w:t>
      </w:r>
    </w:p>
    <w:p>
      <w:pPr>
        <w:spacing w:line="576"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18．经营支出：指事业单位在专业业务活动及其辅助活动之外开展非独立核算经营活动发生的支出。</w:t>
      </w:r>
    </w:p>
    <w:p>
      <w:pPr>
        <w:spacing w:line="600" w:lineRule="exact"/>
        <w:ind w:firstLine="660" w:firstLineChars="200"/>
        <w:jc w:val="left"/>
        <w:outlineLvl w:val="9"/>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19．“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路过桥费、保险费、安全奖励费用等支出；公务接待费反映单位按规定开支的各类公务接待（含外宾接待）费用。</w:t>
      </w:r>
    </w:p>
    <w:p>
      <w:pPr>
        <w:spacing w:line="600" w:lineRule="exact"/>
        <w:ind w:firstLine="883" w:firstLineChars="200"/>
        <w:jc w:val="center"/>
        <w:outlineLvl w:val="0"/>
        <w:rPr>
          <w:rStyle w:val="28"/>
          <w:rFonts w:ascii="黑体" w:hAnsi="黑体" w:eastAsia="黑体"/>
          <w:b w:val="0"/>
        </w:rPr>
      </w:pPr>
      <w:r>
        <w:rPr>
          <w:rFonts w:ascii="宋体"/>
          <w:b/>
          <w:sz w:val="44"/>
          <w:szCs w:val="44"/>
        </w:rPr>
        <w:br w:type="page"/>
      </w:r>
      <w:bookmarkStart w:id="70" w:name="_Toc14200"/>
      <w:bookmarkStart w:id="71" w:name="_Toc15396614"/>
      <w:r>
        <w:rPr>
          <w:rFonts w:hint="eastAsia" w:ascii="黑体" w:hAnsi="黑体" w:eastAsia="黑体"/>
          <w:sz w:val="44"/>
          <w:szCs w:val="44"/>
        </w:rPr>
        <w:t>第</w:t>
      </w:r>
      <w:r>
        <w:rPr>
          <w:rStyle w:val="28"/>
          <w:rFonts w:hint="eastAsia" w:ascii="黑体" w:hAnsi="黑体" w:eastAsia="黑体"/>
          <w:b w:val="0"/>
        </w:rPr>
        <w:t>四部分 附件</w:t>
      </w:r>
      <w:bookmarkEnd w:id="70"/>
      <w:bookmarkEnd w:id="71"/>
    </w:p>
    <w:p>
      <w:pPr>
        <w:spacing w:line="572" w:lineRule="exact"/>
        <w:jc w:val="left"/>
        <w:outlineLvl w:val="9"/>
        <w:rPr>
          <w:rFonts w:ascii="仿宋_GB2312" w:hAnsi="仿宋_GB2312" w:eastAsia="仿宋_GB2312" w:cs="仿宋_GB2312"/>
          <w:sz w:val="32"/>
          <w:szCs w:val="32"/>
        </w:rPr>
      </w:pPr>
    </w:p>
    <w:p>
      <w:pPr>
        <w:spacing w:line="600" w:lineRule="exact"/>
        <w:jc w:val="center"/>
        <w:outlineLvl w:val="9"/>
        <w:rPr>
          <w:rFonts w:hint="default" w:ascii="Times New Roman" w:hAnsi="Times New Roman" w:eastAsia="方正仿宋_GBK" w:cs="Times New Roman"/>
          <w:color w:val="FF0000"/>
          <w:sz w:val="33"/>
          <w:szCs w:val="33"/>
          <w:lang w:val="en-US" w:eastAsia="zh-CN"/>
        </w:rPr>
      </w:pPr>
      <w:bookmarkStart w:id="72" w:name="_Toc15396618"/>
      <w:r>
        <w:rPr>
          <w:rFonts w:hint="default" w:ascii="Times New Roman" w:hAnsi="Times New Roman" w:eastAsia="方正仿宋_GBK" w:cs="Times New Roman"/>
          <w:sz w:val="33"/>
          <w:szCs w:val="33"/>
        </w:rPr>
        <w:t>部门预算项目支出绩效自评表（2023年度）</w:t>
      </w:r>
      <w:r>
        <w:rPr>
          <w:rFonts w:hint="eastAsia" w:eastAsia="方正仿宋_GBK" w:cs="Times New Roman"/>
          <w:sz w:val="33"/>
          <w:szCs w:val="33"/>
          <w:lang w:val="en-US" w:eastAsia="zh-CN"/>
        </w:rPr>
        <w:t>见附件3</w:t>
      </w:r>
      <w:bookmarkStart w:id="100" w:name="_GoBack"/>
      <w:bookmarkEnd w:id="100"/>
    </w:p>
    <w:p>
      <w:pPr>
        <w:pStyle w:val="15"/>
        <w:spacing w:line="560" w:lineRule="exact"/>
        <w:ind w:left="0" w:leftChars="0" w:firstLine="0" w:firstLineChars="0"/>
        <w:rPr>
          <w:sz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pStyle w:val="7"/>
        <w:spacing w:before="93"/>
        <w:rPr>
          <w:rFonts w:hAnsi="Calibri" w:cs="仿宋"/>
          <w:sz w:val="32"/>
          <w:szCs w:val="32"/>
        </w:rPr>
      </w:pPr>
    </w:p>
    <w:p>
      <w:pPr>
        <w:spacing w:line="600" w:lineRule="exact"/>
        <w:jc w:val="center"/>
        <w:outlineLvl w:val="0"/>
        <w:rPr>
          <w:rFonts w:ascii="仿宋" w:hAnsi="仿宋" w:eastAsia="仿宋"/>
        </w:rPr>
      </w:pPr>
      <w:bookmarkStart w:id="73" w:name="_Toc11093"/>
      <w:r>
        <w:rPr>
          <w:rFonts w:hint="eastAsia" w:ascii="黑体" w:hAnsi="黑体" w:eastAsia="黑体"/>
          <w:sz w:val="44"/>
          <w:szCs w:val="44"/>
        </w:rPr>
        <w:t>第</w:t>
      </w:r>
      <w:r>
        <w:rPr>
          <w:rStyle w:val="28"/>
          <w:rFonts w:hint="eastAsia" w:ascii="黑体" w:hAnsi="黑体" w:eastAsia="黑体"/>
          <w:b w:val="0"/>
        </w:rPr>
        <w:t>五部分 附表</w:t>
      </w:r>
      <w:bookmarkEnd w:id="69"/>
      <w:bookmarkEnd w:id="72"/>
      <w:bookmarkEnd w:id="73"/>
      <w:bookmarkStart w:id="74" w:name="_Toc15396619"/>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75" w:name="_Toc30084"/>
      <w:r>
        <w:rPr>
          <w:rFonts w:hint="eastAsia" w:ascii="方正仿宋_GBK" w:hAnsi="方正仿宋_GBK" w:eastAsia="方正仿宋_GBK" w:cs="方正仿宋_GBK"/>
          <w:b w:val="0"/>
          <w:sz w:val="33"/>
          <w:szCs w:val="33"/>
        </w:rPr>
        <w:t>一、收</w:t>
      </w:r>
      <w:r>
        <w:rPr>
          <w:rStyle w:val="29"/>
          <w:rFonts w:hint="eastAsia" w:ascii="方正仿宋_GBK" w:hAnsi="方正仿宋_GBK" w:eastAsia="方正仿宋_GBK" w:cs="方正仿宋_GBK"/>
          <w:b w:val="0"/>
          <w:bCs w:val="0"/>
          <w:sz w:val="33"/>
          <w:szCs w:val="33"/>
        </w:rPr>
        <w:t>入支出决算总表</w:t>
      </w:r>
      <w:bookmarkEnd w:id="74"/>
      <w:bookmarkEnd w:id="75"/>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76" w:name="_Toc15396620"/>
      <w:bookmarkStart w:id="77" w:name="_Toc6421"/>
      <w:r>
        <w:rPr>
          <w:rFonts w:hint="eastAsia" w:ascii="方正仿宋_GBK" w:hAnsi="方正仿宋_GBK" w:eastAsia="方正仿宋_GBK" w:cs="方正仿宋_GBK"/>
          <w:b w:val="0"/>
          <w:sz w:val="33"/>
          <w:szCs w:val="33"/>
        </w:rPr>
        <w:t>二、收</w:t>
      </w:r>
      <w:r>
        <w:rPr>
          <w:rStyle w:val="29"/>
          <w:rFonts w:hint="eastAsia" w:ascii="方正仿宋_GBK" w:hAnsi="方正仿宋_GBK" w:eastAsia="方正仿宋_GBK" w:cs="方正仿宋_GBK"/>
          <w:b w:val="0"/>
          <w:bCs w:val="0"/>
          <w:sz w:val="33"/>
          <w:szCs w:val="33"/>
        </w:rPr>
        <w:t>入决算表</w:t>
      </w:r>
      <w:bookmarkEnd w:id="76"/>
      <w:bookmarkEnd w:id="77"/>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78" w:name="_Toc3511"/>
      <w:bookmarkStart w:id="79" w:name="_Toc15396621"/>
      <w:r>
        <w:rPr>
          <w:rStyle w:val="29"/>
          <w:rFonts w:hint="eastAsia" w:ascii="方正仿宋_GBK" w:hAnsi="方正仿宋_GBK" w:eastAsia="方正仿宋_GBK" w:cs="方正仿宋_GBK"/>
          <w:b w:val="0"/>
          <w:bCs w:val="0"/>
          <w:sz w:val="33"/>
          <w:szCs w:val="33"/>
        </w:rPr>
        <w:t>三、</w:t>
      </w:r>
      <w:r>
        <w:rPr>
          <w:rFonts w:hint="eastAsia" w:ascii="方正仿宋_GBK" w:hAnsi="方正仿宋_GBK" w:eastAsia="方正仿宋_GBK" w:cs="方正仿宋_GBK"/>
          <w:b w:val="0"/>
          <w:sz w:val="33"/>
          <w:szCs w:val="33"/>
        </w:rPr>
        <w:t>支</w:t>
      </w:r>
      <w:r>
        <w:rPr>
          <w:rStyle w:val="29"/>
          <w:rFonts w:hint="eastAsia" w:ascii="方正仿宋_GBK" w:hAnsi="方正仿宋_GBK" w:eastAsia="方正仿宋_GBK" w:cs="方正仿宋_GBK"/>
          <w:b w:val="0"/>
          <w:bCs w:val="0"/>
          <w:sz w:val="33"/>
          <w:szCs w:val="33"/>
        </w:rPr>
        <w:t>出决算表</w:t>
      </w:r>
      <w:bookmarkEnd w:id="78"/>
      <w:bookmarkEnd w:id="79"/>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b w:val="0"/>
          <w:sz w:val="33"/>
          <w:szCs w:val="33"/>
        </w:rPr>
      </w:pPr>
      <w:bookmarkStart w:id="80" w:name="_Toc15396622"/>
      <w:bookmarkStart w:id="81" w:name="_Toc8380"/>
      <w:r>
        <w:rPr>
          <w:rStyle w:val="29"/>
          <w:rFonts w:hint="eastAsia" w:ascii="方正仿宋_GBK" w:hAnsi="方正仿宋_GBK" w:eastAsia="方正仿宋_GBK" w:cs="方正仿宋_GBK"/>
          <w:b w:val="0"/>
          <w:bCs w:val="0"/>
          <w:sz w:val="33"/>
          <w:szCs w:val="33"/>
        </w:rPr>
        <w:t>四、</w:t>
      </w:r>
      <w:r>
        <w:rPr>
          <w:rFonts w:hint="eastAsia" w:ascii="方正仿宋_GBK" w:hAnsi="方正仿宋_GBK" w:eastAsia="方正仿宋_GBK" w:cs="方正仿宋_GBK"/>
          <w:b w:val="0"/>
          <w:sz w:val="33"/>
          <w:szCs w:val="33"/>
        </w:rPr>
        <w:t>财</w:t>
      </w:r>
      <w:r>
        <w:rPr>
          <w:rStyle w:val="29"/>
          <w:rFonts w:hint="eastAsia" w:ascii="方正仿宋_GBK" w:hAnsi="方正仿宋_GBK" w:eastAsia="方正仿宋_GBK" w:cs="方正仿宋_GBK"/>
          <w:b w:val="0"/>
          <w:bCs w:val="0"/>
          <w:sz w:val="33"/>
          <w:szCs w:val="33"/>
        </w:rPr>
        <w:t>政拨款收入支出决算总表</w:t>
      </w:r>
      <w:bookmarkEnd w:id="80"/>
      <w:bookmarkEnd w:id="81"/>
    </w:p>
    <w:p>
      <w:pPr>
        <w:pStyle w:val="4"/>
        <w:keepNext/>
        <w:keepLines/>
        <w:pageBreakBefore w:val="0"/>
        <w:widowControl w:val="0"/>
        <w:kinsoku/>
        <w:wordWrap/>
        <w:overflowPunct/>
        <w:topLinePunct w:val="0"/>
        <w:autoSpaceDE/>
        <w:autoSpaceDN/>
        <w:bidi w:val="0"/>
        <w:adjustRightInd/>
        <w:snapToGrid/>
        <w:spacing w:line="576" w:lineRule="exact"/>
        <w:textAlignment w:val="auto"/>
        <w:rPr>
          <w:rStyle w:val="29"/>
          <w:rFonts w:hint="eastAsia" w:ascii="方正仿宋_GBK" w:hAnsi="方正仿宋_GBK" w:eastAsia="方正仿宋_GBK" w:cs="方正仿宋_GBK"/>
          <w:b w:val="0"/>
          <w:bCs w:val="0"/>
          <w:sz w:val="33"/>
          <w:szCs w:val="33"/>
        </w:rPr>
      </w:pPr>
      <w:bookmarkStart w:id="82" w:name="_Toc15396623"/>
      <w:bookmarkStart w:id="83" w:name="_Toc10270"/>
      <w:r>
        <w:rPr>
          <w:rStyle w:val="29"/>
          <w:rFonts w:hint="eastAsia" w:ascii="方正仿宋_GBK" w:hAnsi="方正仿宋_GBK" w:eastAsia="方正仿宋_GBK" w:cs="方正仿宋_GBK"/>
          <w:b w:val="0"/>
          <w:bCs w:val="0"/>
          <w:sz w:val="33"/>
          <w:szCs w:val="33"/>
        </w:rPr>
        <w:t>五、</w:t>
      </w:r>
      <w:r>
        <w:rPr>
          <w:rFonts w:hint="eastAsia" w:ascii="方正仿宋_GBK" w:hAnsi="方正仿宋_GBK" w:eastAsia="方正仿宋_GBK" w:cs="方正仿宋_GBK"/>
          <w:b w:val="0"/>
          <w:sz w:val="33"/>
          <w:szCs w:val="33"/>
        </w:rPr>
        <w:t>财</w:t>
      </w:r>
      <w:r>
        <w:rPr>
          <w:rStyle w:val="29"/>
          <w:rFonts w:hint="eastAsia" w:ascii="方正仿宋_GBK" w:hAnsi="方正仿宋_GBK" w:eastAsia="方正仿宋_GBK" w:cs="方正仿宋_GBK"/>
          <w:b w:val="0"/>
          <w:bCs w:val="0"/>
          <w:sz w:val="33"/>
          <w:szCs w:val="33"/>
        </w:rPr>
        <w:t>政拨款支出决算明细表</w:t>
      </w:r>
      <w:bookmarkEnd w:id="82"/>
      <w:bookmarkEnd w:id="83"/>
      <w:bookmarkStart w:id="84" w:name="_Toc15396624"/>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85" w:name="_Toc22299"/>
      <w:r>
        <w:rPr>
          <w:rStyle w:val="29"/>
          <w:rFonts w:hint="eastAsia" w:ascii="方正仿宋_GBK" w:hAnsi="方正仿宋_GBK" w:eastAsia="方正仿宋_GBK" w:cs="方正仿宋_GBK"/>
          <w:b w:val="0"/>
          <w:bCs w:val="0"/>
          <w:sz w:val="33"/>
          <w:szCs w:val="33"/>
        </w:rPr>
        <w:t>六、</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般公共预算财政拨款支出决算表</w:t>
      </w:r>
      <w:bookmarkEnd w:id="84"/>
      <w:bookmarkEnd w:id="85"/>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86" w:name="_Toc10090"/>
      <w:bookmarkStart w:id="87" w:name="_Toc15396625"/>
      <w:r>
        <w:rPr>
          <w:rStyle w:val="29"/>
          <w:rFonts w:hint="eastAsia" w:ascii="方正仿宋_GBK" w:hAnsi="方正仿宋_GBK" w:eastAsia="方正仿宋_GBK" w:cs="方正仿宋_GBK"/>
          <w:b w:val="0"/>
          <w:bCs w:val="0"/>
          <w:sz w:val="33"/>
          <w:szCs w:val="33"/>
        </w:rPr>
        <w:t>七、</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般公共预算财政拨款支出决算明细表</w:t>
      </w:r>
      <w:bookmarkEnd w:id="86"/>
      <w:bookmarkEnd w:id="87"/>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88" w:name="_Toc22682"/>
      <w:bookmarkStart w:id="89" w:name="_Toc15396626"/>
      <w:r>
        <w:rPr>
          <w:rStyle w:val="29"/>
          <w:rFonts w:hint="eastAsia" w:ascii="方正仿宋_GBK" w:hAnsi="方正仿宋_GBK" w:eastAsia="方正仿宋_GBK" w:cs="方正仿宋_GBK"/>
          <w:b w:val="0"/>
          <w:bCs w:val="0"/>
          <w:sz w:val="33"/>
          <w:szCs w:val="33"/>
        </w:rPr>
        <w:t>八、</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般公共预算财政拨款基本支出决算表</w:t>
      </w:r>
      <w:bookmarkEnd w:id="88"/>
      <w:bookmarkEnd w:id="89"/>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90" w:name="_Toc15396627"/>
      <w:bookmarkStart w:id="91" w:name="_Toc28893"/>
      <w:r>
        <w:rPr>
          <w:rStyle w:val="29"/>
          <w:rFonts w:hint="eastAsia" w:ascii="方正仿宋_GBK" w:hAnsi="方正仿宋_GBK" w:eastAsia="方正仿宋_GBK" w:cs="方正仿宋_GBK"/>
          <w:b w:val="0"/>
          <w:bCs w:val="0"/>
          <w:sz w:val="33"/>
          <w:szCs w:val="33"/>
        </w:rPr>
        <w:t>九、</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般公共预算财政拨款项目支出决算表</w:t>
      </w:r>
      <w:bookmarkEnd w:id="90"/>
      <w:bookmarkEnd w:id="91"/>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92" w:name="_Toc15396628"/>
      <w:bookmarkStart w:id="93" w:name="_Toc11786"/>
      <w:r>
        <w:rPr>
          <w:rStyle w:val="29"/>
          <w:rFonts w:hint="eastAsia" w:ascii="方正仿宋_GBK" w:hAnsi="方正仿宋_GBK" w:eastAsia="方正仿宋_GBK" w:cs="方正仿宋_GBK"/>
          <w:b w:val="0"/>
          <w:bCs w:val="0"/>
          <w:sz w:val="33"/>
          <w:szCs w:val="33"/>
        </w:rPr>
        <w:t>十、</w:t>
      </w:r>
      <w:bookmarkEnd w:id="92"/>
      <w:r>
        <w:rPr>
          <w:rFonts w:hint="eastAsia" w:ascii="方正仿宋_GBK" w:hAnsi="方正仿宋_GBK" w:eastAsia="方正仿宋_GBK" w:cs="方正仿宋_GBK"/>
          <w:b w:val="0"/>
          <w:sz w:val="33"/>
          <w:szCs w:val="33"/>
        </w:rPr>
        <w:t>政</w:t>
      </w:r>
      <w:r>
        <w:rPr>
          <w:rStyle w:val="29"/>
          <w:rFonts w:hint="eastAsia" w:ascii="方正仿宋_GBK" w:hAnsi="方正仿宋_GBK" w:eastAsia="方正仿宋_GBK" w:cs="方正仿宋_GBK"/>
          <w:b w:val="0"/>
          <w:bCs w:val="0"/>
          <w:sz w:val="33"/>
          <w:szCs w:val="33"/>
        </w:rPr>
        <w:t>府性基金预算财政拨款收入支出决算表</w:t>
      </w:r>
      <w:bookmarkEnd w:id="93"/>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94" w:name="_Toc15396629"/>
      <w:bookmarkStart w:id="95" w:name="_Toc2132"/>
      <w:r>
        <w:rPr>
          <w:rStyle w:val="29"/>
          <w:rFonts w:hint="eastAsia" w:ascii="方正仿宋_GBK" w:hAnsi="方正仿宋_GBK" w:eastAsia="方正仿宋_GBK" w:cs="方正仿宋_GBK"/>
          <w:b w:val="0"/>
          <w:bCs w:val="0"/>
          <w:sz w:val="33"/>
          <w:szCs w:val="33"/>
        </w:rPr>
        <w:t>十一、</w:t>
      </w:r>
      <w:bookmarkEnd w:id="94"/>
      <w:r>
        <w:rPr>
          <w:rFonts w:hint="eastAsia" w:ascii="方正仿宋_GBK" w:hAnsi="方正仿宋_GBK" w:eastAsia="方正仿宋_GBK" w:cs="方正仿宋_GBK"/>
          <w:b w:val="0"/>
          <w:sz w:val="33"/>
          <w:szCs w:val="33"/>
        </w:rPr>
        <w:t>国</w:t>
      </w:r>
      <w:r>
        <w:rPr>
          <w:rStyle w:val="29"/>
          <w:rFonts w:hint="eastAsia" w:ascii="方正仿宋_GBK" w:hAnsi="方正仿宋_GBK" w:eastAsia="方正仿宋_GBK" w:cs="方正仿宋_GBK"/>
          <w:b w:val="0"/>
          <w:bCs w:val="0"/>
          <w:sz w:val="33"/>
          <w:szCs w:val="33"/>
        </w:rPr>
        <w:t>有资本经营预算财政拨款收入支出决算表</w:t>
      </w:r>
      <w:bookmarkEnd w:id="95"/>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96" w:name="_Toc15396630"/>
      <w:bookmarkStart w:id="97" w:name="_Toc6389"/>
      <w:r>
        <w:rPr>
          <w:rStyle w:val="29"/>
          <w:rFonts w:hint="eastAsia" w:ascii="方正仿宋_GBK" w:hAnsi="方正仿宋_GBK" w:eastAsia="方正仿宋_GBK" w:cs="方正仿宋_GBK"/>
          <w:b w:val="0"/>
          <w:bCs w:val="0"/>
          <w:sz w:val="33"/>
          <w:szCs w:val="33"/>
        </w:rPr>
        <w:t>十二、</w:t>
      </w:r>
      <w:bookmarkEnd w:id="96"/>
      <w:r>
        <w:rPr>
          <w:rStyle w:val="29"/>
          <w:rFonts w:hint="eastAsia" w:ascii="方正仿宋_GBK" w:hAnsi="方正仿宋_GBK" w:eastAsia="方正仿宋_GBK" w:cs="方正仿宋_GBK"/>
          <w:b w:val="0"/>
          <w:bCs w:val="0"/>
          <w:sz w:val="33"/>
          <w:szCs w:val="33"/>
        </w:rPr>
        <w:t>国有资本经营预算财政拨款支出决算表</w:t>
      </w:r>
      <w:bookmarkEnd w:id="97"/>
    </w:p>
    <w:p>
      <w:pPr>
        <w:pStyle w:val="4"/>
        <w:keepNext/>
        <w:keepLines/>
        <w:pageBreakBefore w:val="0"/>
        <w:widowControl w:val="0"/>
        <w:kinsoku/>
        <w:wordWrap/>
        <w:overflowPunct/>
        <w:topLinePunct w:val="0"/>
        <w:autoSpaceDE/>
        <w:autoSpaceDN/>
        <w:bidi w:val="0"/>
        <w:adjustRightInd/>
        <w:snapToGrid/>
        <w:spacing w:line="576" w:lineRule="exact"/>
        <w:textAlignment w:val="auto"/>
        <w:rPr>
          <w:rFonts w:hint="eastAsia" w:ascii="方正仿宋_GBK" w:hAnsi="方正仿宋_GBK" w:eastAsia="方正仿宋_GBK" w:cs="方正仿宋_GBK"/>
          <w:sz w:val="33"/>
          <w:szCs w:val="33"/>
        </w:rPr>
      </w:pPr>
      <w:bookmarkStart w:id="98" w:name="_Toc15396631"/>
      <w:bookmarkStart w:id="99" w:name="_Toc18886"/>
      <w:r>
        <w:rPr>
          <w:rStyle w:val="29"/>
          <w:rFonts w:hint="eastAsia" w:ascii="方正仿宋_GBK" w:hAnsi="方正仿宋_GBK" w:eastAsia="方正仿宋_GBK" w:cs="方正仿宋_GBK"/>
          <w:b w:val="0"/>
          <w:bCs w:val="0"/>
          <w:sz w:val="33"/>
          <w:szCs w:val="33"/>
        </w:rPr>
        <w:t>十三、</w:t>
      </w:r>
      <w:bookmarkEnd w:id="98"/>
      <w:r>
        <w:rPr>
          <w:rStyle w:val="29"/>
          <w:rFonts w:hint="eastAsia" w:ascii="方正仿宋_GBK" w:hAnsi="方正仿宋_GBK" w:eastAsia="方正仿宋_GBK" w:cs="方正仿宋_GBK"/>
          <w:b w:val="0"/>
          <w:bCs w:val="0"/>
          <w:sz w:val="33"/>
          <w:szCs w:val="33"/>
        </w:rPr>
        <w:t>财政拨款“三公”经费支出决算表</w:t>
      </w:r>
      <w:bookmarkEnd w:id="9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15</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YjI4MTE1NDAzNWRiODljZjhiNzRlMDhmMDBiMW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7EC6A16"/>
    <w:rsid w:val="081B5E94"/>
    <w:rsid w:val="0A2032A3"/>
    <w:rsid w:val="0A48537A"/>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867E83"/>
    <w:rsid w:val="30B46D73"/>
    <w:rsid w:val="319F7F4E"/>
    <w:rsid w:val="32D15F18"/>
    <w:rsid w:val="356A28F1"/>
    <w:rsid w:val="357C035A"/>
    <w:rsid w:val="368E000D"/>
    <w:rsid w:val="37695C15"/>
    <w:rsid w:val="383D272C"/>
    <w:rsid w:val="39AE70AB"/>
    <w:rsid w:val="3A4DCE41"/>
    <w:rsid w:val="3BCB56FA"/>
    <w:rsid w:val="3C0C0783"/>
    <w:rsid w:val="3EE7C2F4"/>
    <w:rsid w:val="3EEF37C3"/>
    <w:rsid w:val="3F371B56"/>
    <w:rsid w:val="3F792ED8"/>
    <w:rsid w:val="3F9F3A96"/>
    <w:rsid w:val="3FECA4B2"/>
    <w:rsid w:val="3FF58C48"/>
    <w:rsid w:val="42FF6694"/>
    <w:rsid w:val="48BF60AB"/>
    <w:rsid w:val="493C27E9"/>
    <w:rsid w:val="496F39ED"/>
    <w:rsid w:val="49FF41D3"/>
    <w:rsid w:val="4BE068DB"/>
    <w:rsid w:val="4BF6002B"/>
    <w:rsid w:val="4BFFC6BE"/>
    <w:rsid w:val="4ECE2238"/>
    <w:rsid w:val="4FBF742E"/>
    <w:rsid w:val="51DB4B86"/>
    <w:rsid w:val="51F64DB0"/>
    <w:rsid w:val="55333C3E"/>
    <w:rsid w:val="5A517346"/>
    <w:rsid w:val="5F67802D"/>
    <w:rsid w:val="5F7DC4F2"/>
    <w:rsid w:val="5FB36814"/>
    <w:rsid w:val="5FBB8E56"/>
    <w:rsid w:val="5FFB5535"/>
    <w:rsid w:val="60C02526"/>
    <w:rsid w:val="64CA39A1"/>
    <w:rsid w:val="69630ADE"/>
    <w:rsid w:val="69BD5F13"/>
    <w:rsid w:val="69FB0B4B"/>
    <w:rsid w:val="6BFFE1FB"/>
    <w:rsid w:val="6C4A05C8"/>
    <w:rsid w:val="6D3B1A89"/>
    <w:rsid w:val="6DB7D8A3"/>
    <w:rsid w:val="6EC78701"/>
    <w:rsid w:val="6F7A5481"/>
    <w:rsid w:val="6FFE07A9"/>
    <w:rsid w:val="71BF4EC2"/>
    <w:rsid w:val="72734D90"/>
    <w:rsid w:val="73E75B71"/>
    <w:rsid w:val="7412278C"/>
    <w:rsid w:val="74161E7D"/>
    <w:rsid w:val="75DDCDA9"/>
    <w:rsid w:val="75FF44B1"/>
    <w:rsid w:val="77670518"/>
    <w:rsid w:val="777FA627"/>
    <w:rsid w:val="77982750"/>
    <w:rsid w:val="77DF1B5F"/>
    <w:rsid w:val="77EF2D9D"/>
    <w:rsid w:val="79E7B28D"/>
    <w:rsid w:val="7ACFF0C2"/>
    <w:rsid w:val="7AFB9108"/>
    <w:rsid w:val="7BD5340C"/>
    <w:rsid w:val="7BFB19D2"/>
    <w:rsid w:val="7BFD1750"/>
    <w:rsid w:val="7BFDAA1B"/>
    <w:rsid w:val="7CDF9A82"/>
    <w:rsid w:val="7CFFA1BD"/>
    <w:rsid w:val="7D2E3F7A"/>
    <w:rsid w:val="7DED9490"/>
    <w:rsid w:val="7DFF4872"/>
    <w:rsid w:val="7E7487E6"/>
    <w:rsid w:val="7E7C2A54"/>
    <w:rsid w:val="7EEEFD72"/>
    <w:rsid w:val="7F1D517C"/>
    <w:rsid w:val="7F5DA057"/>
    <w:rsid w:val="7F6C2237"/>
    <w:rsid w:val="7F7F319B"/>
    <w:rsid w:val="7F9F20EE"/>
    <w:rsid w:val="7FBBE890"/>
    <w:rsid w:val="7FBC2ABD"/>
    <w:rsid w:val="7FBF5D48"/>
    <w:rsid w:val="7FCCFC01"/>
    <w:rsid w:val="7FDD1748"/>
    <w:rsid w:val="7FE769C6"/>
    <w:rsid w:val="7FFD083E"/>
    <w:rsid w:val="7FFF9372"/>
    <w:rsid w:val="84BF1F3B"/>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E3F332B"/>
    <w:rsid w:val="DE6F4A3D"/>
    <w:rsid w:val="DF69F8B0"/>
    <w:rsid w:val="DFC71555"/>
    <w:rsid w:val="DFFC559C"/>
    <w:rsid w:val="DFFEDFAE"/>
    <w:rsid w:val="DFFFB5EB"/>
    <w:rsid w:val="E4B33E57"/>
    <w:rsid w:val="E5BF946A"/>
    <w:rsid w:val="EB39BD45"/>
    <w:rsid w:val="EBCF1FC2"/>
    <w:rsid w:val="EBD18F66"/>
    <w:rsid w:val="ED17392C"/>
    <w:rsid w:val="ED9FFD9A"/>
    <w:rsid w:val="EDB7968B"/>
    <w:rsid w:val="EEF73F60"/>
    <w:rsid w:val="EFED9E42"/>
    <w:rsid w:val="EFFFB194"/>
    <w:rsid w:val="F2E1F9D4"/>
    <w:rsid w:val="F5FF7449"/>
    <w:rsid w:val="F7880819"/>
    <w:rsid w:val="F7AF180D"/>
    <w:rsid w:val="F7BDBFA7"/>
    <w:rsid w:val="F7FAD68F"/>
    <w:rsid w:val="F7FB14CF"/>
    <w:rsid w:val="FB3FC69C"/>
    <w:rsid w:val="FBDFF225"/>
    <w:rsid w:val="FBF7AB63"/>
    <w:rsid w:val="FC2F3373"/>
    <w:rsid w:val="FCF51535"/>
    <w:rsid w:val="FD77F6B8"/>
    <w:rsid w:val="FDD69328"/>
    <w:rsid w:val="FDDFEC0E"/>
    <w:rsid w:val="FDE58BDD"/>
    <w:rsid w:val="FDEC7001"/>
    <w:rsid w:val="FEDFE87F"/>
    <w:rsid w:val="FEF1D25B"/>
    <w:rsid w:val="FF3EF90F"/>
    <w:rsid w:val="FFAF6081"/>
    <w:rsid w:val="FFECCD8C"/>
    <w:rsid w:val="FFED60BD"/>
    <w:rsid w:val="FFEE08F0"/>
    <w:rsid w:val="FFEE7F9F"/>
    <w:rsid w:val="FFFF31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paragraph" w:styleId="6">
    <w:name w:val="index 8"/>
    <w:basedOn w:val="1"/>
    <w:next w:val="1"/>
    <w:qFormat/>
    <w:uiPriority w:val="0"/>
    <w:pPr>
      <w:ind w:left="2940"/>
    </w:pPr>
  </w:style>
  <w:style w:type="paragraph" w:styleId="7">
    <w:name w:val="Body Text"/>
    <w:basedOn w:val="1"/>
    <w:link w:val="25"/>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200"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oc 2"/>
    <w:basedOn w:val="1"/>
    <w:next w:val="1"/>
    <w:unhideWhenUsed/>
    <w:qFormat/>
    <w:uiPriority w:val="39"/>
    <w:pPr>
      <w:tabs>
        <w:tab w:val="right" w:leader="dot" w:pos="8296"/>
      </w:tabs>
      <w:ind w:left="420" w:leftChars="200"/>
    </w:pPr>
  </w:style>
  <w:style w:type="paragraph" w:styleId="15">
    <w:name w:val="Body Text First Indent 2"/>
    <w:basedOn w:val="8"/>
    <w:unhideWhenUsed/>
    <w:qFormat/>
    <w:uiPriority w:val="99"/>
    <w:pPr>
      <w:ind w:firstLine="420" w:firstLine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14:textFill>
        <w14:solidFill>
          <w14:schemeClr w14:val="hlink"/>
        </w14:solidFill>
      </w14:textFill>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字符"/>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字符"/>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字符"/>
    <w:link w:val="7"/>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7"/>
    <w:link w:val="3"/>
    <w:qFormat/>
    <w:uiPriority w:val="9"/>
    <w:rPr>
      <w:rFonts w:ascii="Times New Roman" w:hAnsi="Times New Roman"/>
      <w:b/>
      <w:bCs/>
      <w:kern w:val="44"/>
      <w:sz w:val="44"/>
      <w:szCs w:val="44"/>
    </w:rPr>
  </w:style>
  <w:style w:type="character" w:customStyle="1" w:styleId="29">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7"/>
    <w:link w:val="10"/>
    <w:semiHidden/>
    <w:qFormat/>
    <w:uiPriority w:val="99"/>
    <w:rPr>
      <w:rFonts w:ascii="Times New Roman" w:hAnsi="Times New Roman"/>
      <w:kern w:val="2"/>
      <w:sz w:val="18"/>
      <w:szCs w:val="18"/>
    </w:rPr>
  </w:style>
  <w:style w:type="character" w:customStyle="1" w:styleId="32">
    <w:name w:val="标题 3 字符"/>
    <w:basedOn w:val="17"/>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WPSOffice手动目录 1"/>
    <w:qFormat/>
    <w:uiPriority w:val="0"/>
    <w:pPr>
      <w:ind w:leftChars="0"/>
    </w:pPr>
    <w:rPr>
      <w:rFonts w:asciiTheme="minorHAnsi" w:hAnsiTheme="minorHAnsi" w:eastAsiaTheme="minorEastAsia" w:cstheme="minorBidi"/>
      <w:sz w:val="20"/>
      <w:szCs w:val="20"/>
    </w:rPr>
  </w:style>
  <w:style w:type="paragraph" w:customStyle="1" w:styleId="35">
    <w:name w:val="WPSOffice手动目录 2"/>
    <w:qFormat/>
    <w:uiPriority w:val="0"/>
    <w:pPr>
      <w:ind w:leftChars="200"/>
    </w:pPr>
    <w:rPr>
      <w:rFonts w:asciiTheme="minorHAnsi" w:hAnsiTheme="minorHAnsi" w:eastAsiaTheme="minorEastAsia" w:cstheme="minorBidi"/>
      <w:sz w:val="20"/>
      <w:szCs w:val="20"/>
    </w:rPr>
  </w:style>
  <w:style w:type="paragraph" w:customStyle="1" w:styleId="36">
    <w:name w:val="WPSOffice手动目录 3"/>
    <w:qFormat/>
    <w:uiPriority w:val="0"/>
    <w:pPr>
      <w:ind w:leftChars="4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2022年</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c:v>
                </c:pt>
                <c:pt idx="2">
                  <c:v>2023年</c:v>
                </c:pt>
              </c:strCache>
            </c:strRef>
          </c:cat>
          <c:val>
            <c:numRef>
              <c:f>Sheet1!$B$2:$B$5</c:f>
              <c:numCache>
                <c:formatCode>General</c:formatCode>
                <c:ptCount val="4"/>
                <c:pt idx="1">
                  <c:v>340.62</c:v>
                </c:pt>
              </c:numCache>
            </c:numRef>
          </c:val>
        </c:ser>
        <c:ser>
          <c:idx val="1"/>
          <c:order val="1"/>
          <c:tx>
            <c:strRef>
              <c:f>Sheet1!$C$1</c:f>
              <c:strCache>
                <c:ptCount val="1"/>
                <c:pt idx="0">
                  <c:v>2023年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c:v>
                </c:pt>
                <c:pt idx="2">
                  <c:v>2023年</c:v>
                </c:pt>
              </c:strCache>
            </c:strRef>
          </c:cat>
          <c:val>
            <c:numRef>
              <c:f>Sheet1!$C$2:$C$5</c:f>
              <c:numCache>
                <c:formatCode>General</c:formatCode>
                <c:ptCount val="4"/>
                <c:pt idx="2">
                  <c:v>476.42</c:v>
                </c:pt>
              </c:numCache>
            </c:numRef>
          </c:val>
        </c:ser>
        <c:ser>
          <c:idx val="2"/>
          <c:order val="2"/>
          <c:tx>
            <c:strRef>
              <c:f>Sheet1!$D$1</c:f>
              <c:strCache>
                <c:ptCount val="1"/>
                <c:pt idx="0">
                  <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delete val="1"/>
          </c:dLbls>
          <c:cat>
            <c:strRef>
              <c:f>Sheet1!$A$2:$A$5</c:f>
              <c:strCache>
                <c:ptCount val="4"/>
                <c:pt idx="1">
                  <c:v>2022年</c:v>
                </c:pt>
                <c:pt idx="2">
                  <c:v>2023年</c:v>
                </c:pt>
              </c:strCache>
            </c:strRef>
          </c:cat>
          <c:val>
            <c:numRef>
              <c:f>Sheet1!$D$2:$D$5</c:f>
              <c:numCache>
                <c:formatCode>General</c:formatCode>
                <c:ptCount val="4"/>
              </c:numCache>
            </c:numRef>
          </c:val>
        </c:ser>
        <c:dLbls>
          <c:showLegendKey val="0"/>
          <c:showVal val="0"/>
          <c:showCatName val="0"/>
          <c:showSerName val="0"/>
          <c:showPercent val="0"/>
          <c:showBubbleSize val="0"/>
        </c:dLbls>
        <c:gapWidth val="500"/>
        <c:overlap val="-100"/>
        <c:axId val="848856115"/>
        <c:axId val="862480123"/>
      </c:barChart>
      <c:catAx>
        <c:axId val="848856115"/>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62480123"/>
        <c:crosses val="autoZero"/>
        <c:auto val="1"/>
        <c:lblAlgn val="ctr"/>
        <c:lblOffset val="100"/>
        <c:noMultiLvlLbl val="0"/>
      </c:catAx>
      <c:valAx>
        <c:axId val="862480123"/>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848856115"/>
        <c:crosses val="autoZero"/>
        <c:crossBetween val="between"/>
      </c:valAx>
      <c:spPr>
        <a:noFill/>
        <a:ln>
          <a:noFill/>
        </a:ln>
        <a:effectLst/>
      </c:spPr>
    </c:plotArea>
    <c:legend>
      <c:legendPos val="t"/>
      <c:legendEntry>
        <c:idx val="2"/>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一般公共预算财政拨款收入</c:v>
                </c:pt>
              </c:strCache>
            </c:strRef>
          </c:tx>
          <c:spPr>
            <a:solidFill>
              <a:schemeClr val="accent1"/>
            </a:solidFill>
            <a:ln w="12700">
              <a:solidFill>
                <a:schemeClr val="accent1"/>
              </a:solidFill>
            </a:ln>
            <a:effectLst>
              <a:outerShdw blurRad="50800" dist="38100" dir="2700000" algn="tl" rotWithShape="0">
                <a:schemeClr val="accent2">
                  <a:lumMod val="50000"/>
                  <a:alpha val="40000"/>
                </a:schemeClr>
              </a:outerShdw>
            </a:effectLst>
            <a:sp3d contourW="12700"/>
          </c:spPr>
          <c:explosion val="0"/>
          <c:dPt>
            <c:idx val="0"/>
            <c:bubble3D val="0"/>
            <c:spPr>
              <a:gradFill>
                <a:gsLst>
                  <a:gs pos="100000">
                    <a:schemeClr val="accent1"/>
                  </a:gs>
                  <a:gs pos="0">
                    <a:schemeClr val="accent1">
                      <a:lumMod val="40000"/>
                      <a:lumOff val="60000"/>
                    </a:schemeClr>
                  </a:gs>
                </a:gsLst>
                <a:lin ang="2700000"/>
              </a:gradFill>
              <a:ln w="12700">
                <a:solidFill>
                  <a:schemeClr val="accent1"/>
                </a:solidFill>
              </a:ln>
              <a:effectLst>
                <a:outerShdw blurRad="50800" dist="38100" dir="2700000" algn="tl" rotWithShape="0">
                  <a:schemeClr val="accent1">
                    <a:lumMod val="50000"/>
                    <a:alpha val="40000"/>
                  </a:schemeClr>
                </a:outerShdw>
              </a:effectLst>
              <a:sp3d contourW="12700"/>
            </c:spPr>
          </c:dPt>
          <c:dPt>
            <c:idx val="1"/>
            <c:bubble3D val="0"/>
            <c:spPr>
              <a:gradFill>
                <a:gsLst>
                  <a:gs pos="100000">
                    <a:schemeClr val="accent2"/>
                  </a:gs>
                  <a:gs pos="0">
                    <a:schemeClr val="accent2">
                      <a:lumMod val="40000"/>
                      <a:lumOff val="60000"/>
                    </a:schemeClr>
                  </a:gs>
                </a:gsLst>
                <a:lin ang="2700000" scaled="0"/>
              </a:gradFill>
              <a:ln w="12700">
                <a:solidFill>
                  <a:schemeClr val="accent2"/>
                </a:solidFill>
              </a:ln>
              <a:effectLst>
                <a:outerShdw blurRad="50800" dist="38100" dir="2700000" algn="tl" rotWithShape="0">
                  <a:schemeClr val="accent2">
                    <a:lumMod val="50000"/>
                    <a:alpha val="40000"/>
                  </a:schemeClr>
                </a:outerShdw>
              </a:effectLst>
              <a:sp3d contourW="12700"/>
            </c:spPr>
          </c:dPt>
          <c:dPt>
            <c:idx val="2"/>
            <c:bubble3D val="0"/>
            <c:spPr>
              <a:gradFill>
                <a:gsLst>
                  <a:gs pos="100000">
                    <a:schemeClr val="accent3"/>
                  </a:gs>
                  <a:gs pos="0">
                    <a:schemeClr val="accent3">
                      <a:lumMod val="40000"/>
                      <a:lumOff val="60000"/>
                    </a:schemeClr>
                  </a:gs>
                </a:gsLst>
                <a:lin ang="2700000" scaled="0"/>
              </a:gradFill>
              <a:ln w="12700">
                <a:solidFill>
                  <a:schemeClr val="accent3"/>
                </a:solidFill>
              </a:ln>
              <a:effectLst>
                <a:outerShdw blurRad="50800" dist="38100" dir="2700000" algn="tl" rotWithShape="0">
                  <a:schemeClr val="accent3">
                    <a:lumMod val="50000"/>
                    <a:alpha val="40000"/>
                  </a:schemeClr>
                </a:outerShdw>
              </a:effectLst>
              <a:sp3d contourW="12700"/>
            </c:spPr>
          </c:dPt>
          <c:dPt>
            <c:idx val="3"/>
            <c:bubble3D val="0"/>
            <c:spPr>
              <a:gradFill>
                <a:gsLst>
                  <a:gs pos="100000">
                    <a:schemeClr val="accent4"/>
                  </a:gs>
                  <a:gs pos="0">
                    <a:schemeClr val="accent4">
                      <a:lumMod val="40000"/>
                      <a:lumOff val="60000"/>
                    </a:schemeClr>
                  </a:gs>
                </a:gsLst>
                <a:lin ang="2700000" scaled="0"/>
              </a:gradFill>
              <a:ln w="12700">
                <a:solidFill>
                  <a:schemeClr val="accent4"/>
                </a:solidFill>
              </a:ln>
              <a:effectLst>
                <a:outerShdw blurRad="50800" dist="38100" dir="2700000" algn="tl" rotWithShape="0">
                  <a:schemeClr val="accent4">
                    <a:lumMod val="50000"/>
                    <a:alpha val="40000"/>
                  </a:schemeClr>
                </a:outerShdw>
              </a:effectLst>
              <a:sp3d contourW="12700"/>
            </c:spPr>
          </c:dPt>
          <c:dLbls>
            <c:dLbl>
              <c:idx val="0"/>
              <c:layout/>
              <c:numFmt formatCode="General" sourceLinked="1"/>
              <c:spPr>
                <a:solidFill>
                  <a:srgbClr val="FFFFFF"/>
                </a:solidFill>
                <a:ln>
                  <a:solidFill>
                    <a:schemeClr val="accent1"/>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1"/>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numFmt formatCode="General" sourceLinked="1"/>
              <c:spPr>
                <a:solidFill>
                  <a:srgbClr val="FFFFFF"/>
                </a:solidFill>
                <a:ln>
                  <a:solidFill>
                    <a:schemeClr val="accent2"/>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2"/>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numFmt formatCode="General" sourceLinked="1"/>
              <c:spPr>
                <a:solidFill>
                  <a:srgbClr val="FFFFFF"/>
                </a:solidFill>
                <a:ln>
                  <a:solidFill>
                    <a:schemeClr val="accent3"/>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3"/>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dLbl>
              <c:idx val="3"/>
              <c:layout/>
              <c:numFmt formatCode="General" sourceLinked="1"/>
              <c:spPr>
                <a:solidFill>
                  <a:srgbClr val="FFFFFF"/>
                </a:solidFill>
                <a:ln>
                  <a:solidFill>
                    <a:schemeClr val="accent4"/>
                  </a:solidFill>
                </a:ln>
                <a:effectLst/>
              </c:spPr>
              <c:txPr>
                <a:bodyPr rot="0" spcFirstLastPara="0" vertOverflow="clip" vert="horz" wrap="square" lIns="36576" tIns="18288" rIns="36576" bIns="18288" anchor="ctr" anchorCtr="1" forceAA="0"/>
                <a:lstStyle/>
                <a:p>
                  <a:pPr>
                    <a:defRPr lang="zh-CN" sz="900" b="1" i="0" u="none" strike="noStrike" kern="1200" baseline="0">
                      <a:solidFill>
                        <a:schemeClr val="accent4"/>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solidFill>
                <a:srgbClr val="FFFFFF"/>
              </a:solidFill>
              <a:ln>
                <a:solidFill>
                  <a:srgbClr val="000000">
                    <a:lumMod val="25000"/>
                    <a:lumOff val="75000"/>
                  </a:srgbClr>
                </a:solidFill>
              </a:ln>
              <a:effectLst/>
            </c:spPr>
            <c:txPr>
              <a:bodyPr rot="0" spcFirstLastPara="0" vertOverflow="clip" horzOverflow="clip" vert="horz" wrap="square" lIns="36576" tIns="18288" rIns="36576" bIns="18288" anchor="ctr" anchorCtr="1" forceAA="0">
                <a:spAutoFit/>
              </a:bodyPr>
              <a:lstStyle/>
              <a:p>
                <a:pPr>
                  <a:defRPr lang="zh-CN" sz="900" b="1" i="0" u="none" strike="noStrike" kern="1200" baseline="0">
                    <a:solidFill>
                      <a:schemeClr val="dk1">
                        <a:lumMod val="65000"/>
                        <a:lumOff val="3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spPr xmlns:c15="http://schemas.microsoft.com/office/drawing/2012/chart">
                  <a:prstGeom prst="wedge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一般公共预算财政拨款收入</c:v>
                </c:pt>
              </c:strCache>
            </c:strRef>
          </c:cat>
          <c:val>
            <c:numRef>
              <c:f>Sheet1!$B$2:$B$5</c:f>
              <c:numCache>
                <c:formatCode>General</c:formatCode>
                <c:ptCount val="4"/>
                <c:pt idx="0">
                  <c:v>476.42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238924256204"/>
          <c:y val="0.188764528626776"/>
          <c:w val="0.390411848772249"/>
          <c:h val="0.646792940163582"/>
        </c:manualLayout>
      </c:layout>
      <c:pieChart>
        <c:varyColors val="1"/>
        <c:ser>
          <c:idx val="0"/>
          <c:order val="0"/>
          <c:tx>
            <c:strRef>
              <c:f>Sheet1!$B$1</c:f>
              <c:strCache>
                <c:ptCount val="1"/>
                <c:pt idx="0">
                  <c:v>列1</c:v>
                </c:pt>
              </c:strCache>
            </c:strRef>
          </c:tx>
          <c:spPr>
            <a:gradFill rotWithShape="1">
              <a:gsLst>
                <a:gs pos="0">
                  <a:srgbClr val="F7C443"/>
                </a:gs>
                <a:gs pos="100000">
                  <a:srgbClr val="F7C342">
                    <a:alpha val="60000"/>
                  </a:srgbClr>
                </a:gs>
              </a:gsLst>
              <a:lin ang="13500000" scaled="0"/>
            </a:gradFill>
            <a:effectLst/>
          </c:spPr>
          <c:explosion val="0"/>
          <c:dPt>
            <c:idx val="0"/>
            <c:bubble3D val="0"/>
            <c:spPr>
              <a:gradFill rotWithShape="1">
                <a:gsLst>
                  <a:gs pos="0">
                    <a:schemeClr val="accent1"/>
                  </a:gs>
                  <a:gs pos="100000">
                    <a:schemeClr val="accent1">
                      <a:alpha val="60000"/>
                    </a:schemeClr>
                  </a:gs>
                </a:gsLst>
                <a:lin ang="13500000" scaled="0"/>
              </a:gradFill>
              <a:ln>
                <a:noFill/>
              </a:ln>
              <a:effectLst/>
            </c:spPr>
          </c:dPt>
          <c:dPt>
            <c:idx val="1"/>
            <c:bubble3D val="0"/>
            <c:spPr>
              <a:gradFill rotWithShape="1">
                <a:gsLst>
                  <a:gs pos="0">
                    <a:schemeClr val="accent2"/>
                  </a:gs>
                  <a:gs pos="100000">
                    <a:schemeClr val="accent2">
                      <a:alpha val="60000"/>
                    </a:schemeClr>
                  </a:gs>
                </a:gsLst>
                <a:lin ang="13500000" scaled="0"/>
              </a:gradFill>
              <a:ln>
                <a:noFill/>
              </a:ln>
              <a:effectLst/>
            </c:spPr>
          </c:dPt>
          <c:dPt>
            <c:idx val="2"/>
            <c:bubble3D val="0"/>
            <c:spPr>
              <a:gradFill rotWithShape="1">
                <a:gsLst>
                  <a:gs pos="0">
                    <a:schemeClr val="accent3"/>
                  </a:gs>
                  <a:gs pos="100000">
                    <a:schemeClr val="accent3">
                      <a:alpha val="60000"/>
                    </a:schemeClr>
                  </a:gs>
                </a:gsLst>
                <a:lin ang="13500000" scaled="0"/>
              </a:gradFill>
              <a:ln>
                <a:noFill/>
              </a:ln>
              <a:effectLst/>
            </c:spPr>
          </c:dPt>
          <c:dPt>
            <c:idx val="3"/>
            <c:bubble3D val="0"/>
            <c:spPr>
              <a:gradFill rotWithShape="1">
                <a:gsLst>
                  <a:gs pos="0">
                    <a:schemeClr val="accent4"/>
                  </a:gs>
                  <a:gs pos="100000">
                    <a:schemeClr val="accent4">
                      <a:alpha val="60000"/>
                    </a:schemeClr>
                  </a:gs>
                </a:gsLst>
                <a:lin ang="13500000" scaled="0"/>
              </a:gradFill>
              <a:ln>
                <a:no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59.0</a:t>
                    </a:r>
                    <a:r>
                      <a:rPr lang="en-US" altLang="zh-CN"/>
                      <a:t>1</a:t>
                    </a:r>
                    <a:r>
                      <a:t>%</a:t>
                    </a: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ctr"/>
              <c:showLegendKey val="0"/>
              <c:showVal val="0"/>
              <c:showCatName val="0"/>
              <c:showSerName val="0"/>
              <c:showPercent val="1"/>
              <c:showBubbleSize val="0"/>
              <c:extLst>
                <c:ext xmlns:c15="http://schemas.microsoft.com/office/drawing/2012/chart" uri="{CE6537A1-D6FC-4f65-9D91-7224C49458BB}"/>
              </c:extLst>
            </c:dLbl>
            <c:dLbl>
              <c:idx val="3"/>
              <c:layout>
                <c:manualLayout>
                  <c:x val="0.164506796852784"/>
                  <c:y val="0.0584409548038619"/>
                </c:manualLayout>
              </c:layout>
              <c:tx>
                <c:rich>
                  <a:bodyPr rot="0" spcFirstLastPara="0" vertOverflow="ellipsis" vert="horz" wrap="square" lIns="38100" tIns="19050" rIns="38100" bIns="19050" anchor="ctr" anchorCtr="1" forceAA="0"/>
                  <a:lstStyle/>
                  <a:p>
                    <a:pPr defTabSz="914400">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4</a:t>
                    </a:r>
                    <a:r>
                      <a:rPr lang="en-US" altLang="zh-CN"/>
                      <a:t>0.99</a:t>
                    </a:r>
                    <a:r>
                      <a:t>%</a:t>
                    </a:r>
                  </a:p>
                </c:rich>
              </c:tx>
              <c:numFmt formatCode="0.00%" sourceLinked="0"/>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bg1"/>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第二季度</c:v>
                </c:pt>
                <c:pt idx="2">
                  <c:v>第三季度</c:v>
                </c:pt>
                <c:pt idx="3">
                  <c:v>项目支出</c:v>
                </c:pt>
              </c:strCache>
            </c:strRef>
          </c:cat>
          <c:val>
            <c:numRef>
              <c:f>Sheet1!$B$2:$B$5</c:f>
              <c:numCache>
                <c:formatCode>General</c:formatCode>
                <c:ptCount val="4"/>
                <c:pt idx="0">
                  <c:v>281.09</c:v>
                </c:pt>
                <c:pt idx="3">
                  <c:v>195.32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1"/>
        <c:delete val="1"/>
      </c:legendEntry>
      <c:legendEntry>
        <c:idx val="2"/>
        <c:delete val="1"/>
      </c:legendEntry>
      <c:layout/>
      <c:overlay val="0"/>
      <c:spPr>
        <a:noFill/>
        <a:ln>
          <a:noFill/>
        </a:ln>
        <a:effectLst/>
      </c:spPr>
      <c:txPr>
        <a:bodyPr rot="0" spcFirstLastPara="0" vertOverflow="ellipsis" vert="horz" wrap="square"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chart>
  <c:spPr>
    <a:solidFill>
      <a:sysClr val="window" lastClr="FFFFFF"/>
    </a:solidFill>
    <a:ln w="9525" cap="flat" cmpd="sng" algn="ctr">
      <a:solidFill>
        <a:schemeClr val="bg2"/>
      </a:solidFill>
      <a:prstDash val="solid"/>
      <a:round/>
    </a:ln>
    <a:effectLst>
      <a:outerShdw blurRad="63500" dist="37357" dir="2700000" sx="0" sy="0" rotWithShape="0">
        <a:scrgbClr r="0" g="0" b="0"/>
      </a:outerShdw>
      <a:softEdge rad="12700"/>
    </a:effectLst>
  </c:spPr>
  <c:txPr>
    <a:bodyPr/>
    <a:lstStyle/>
    <a:p>
      <a:pPr>
        <a:defRPr lang="zh-CN">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2022年收支总计</c:v>
                </c:pt>
                <c:pt idx="3">
                  <c:v>2023年收支总计</c:v>
                </c:pt>
              </c:strCache>
            </c:strRef>
          </c:cat>
          <c:val>
            <c:numRef>
              <c:f>Sheet1!$B$2:$B$5</c:f>
              <c:numCache>
                <c:formatCode>General</c:formatCode>
                <c:ptCount val="4"/>
              </c:numCache>
            </c:numRef>
          </c:val>
        </c:ser>
        <c:ser>
          <c:idx val="1"/>
          <c:order val="1"/>
          <c:tx>
            <c:strRef>
              <c:f>Sheet1!$C$1</c:f>
              <c:strCache>
                <c:ptCount val="1"/>
                <c:pt idx="0">
                  <c:v>2022年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2022年收支总计</c:v>
                </c:pt>
                <c:pt idx="3">
                  <c:v>2023年收支总计</c:v>
                </c:pt>
              </c:strCache>
            </c:strRef>
          </c:cat>
          <c:val>
            <c:numRef>
              <c:f>Sheet1!$C$2:$C$5</c:f>
              <c:numCache>
                <c:formatCode>General</c:formatCode>
                <c:ptCount val="4"/>
                <c:pt idx="1">
                  <c:v>340.62</c:v>
                </c:pt>
              </c:numCache>
            </c:numRef>
          </c:val>
        </c:ser>
        <c:ser>
          <c:idx val="2"/>
          <c:order val="2"/>
          <c:tx>
            <c:strRef>
              <c:f>Sheet1!$D$1</c:f>
              <c:strCache>
                <c:ptCount val="1"/>
                <c:pt idx="0">
                  <c:v>2023年</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2022年收支总计</c:v>
                </c:pt>
                <c:pt idx="3">
                  <c:v>2023年收支总计</c:v>
                </c:pt>
              </c:strCache>
            </c:strRef>
          </c:cat>
          <c:val>
            <c:numRef>
              <c:f>Sheet1!$D$2:$D$5</c:f>
              <c:numCache>
                <c:formatCode>General</c:formatCode>
                <c:ptCount val="4"/>
                <c:pt idx="3">
                  <c:v>476.42</c:v>
                </c:pt>
              </c:numCache>
            </c:numRef>
          </c:val>
        </c:ser>
        <c:dLbls>
          <c:showLegendKey val="0"/>
          <c:showVal val="0"/>
          <c:showCatName val="0"/>
          <c:showSerName val="0"/>
          <c:showPercent val="0"/>
          <c:showBubbleSize val="0"/>
        </c:dLbls>
        <c:gapWidth val="500"/>
        <c:overlap val="-100"/>
        <c:axId val="799487717"/>
        <c:axId val="548121548"/>
      </c:barChart>
      <c:catAx>
        <c:axId val="799487717"/>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548121548"/>
        <c:crosses val="autoZero"/>
        <c:auto val="1"/>
        <c:lblAlgn val="ctr"/>
        <c:lblOffset val="100"/>
        <c:noMultiLvlLbl val="0"/>
      </c:catAx>
      <c:valAx>
        <c:axId val="54812154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99487717"/>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925747679614988"/>
          <c:y val="0.176354956472901"/>
          <c:w val="0.869611550360949"/>
          <c:h val="0.685874754282505"/>
        </c:manualLayout>
      </c:layout>
      <c:barChart>
        <c:barDir val="col"/>
        <c:grouping val="clustered"/>
        <c:varyColors val="0"/>
        <c:ser>
          <c:idx val="0"/>
          <c:order val="0"/>
          <c:tx>
            <c:strRef>
              <c:f>Sheet1!$B$1</c:f>
              <c:strCache>
                <c:ptCount val="1"/>
                <c:pt idx="0">
                  <c:v/>
                </c:pt>
              </c:strCache>
            </c:strRef>
          </c:tx>
          <c:spPr>
            <a:gradFill>
              <a:gsLst>
                <a:gs pos="100000">
                  <a:schemeClr val="accent1">
                    <a:lumMod val="75000"/>
                    <a:alpha val="50000"/>
                  </a:schemeClr>
                </a:gs>
                <a:gs pos="0">
                  <a:schemeClr val="accent1">
                    <a:lumMod val="75000"/>
                  </a:schemeClr>
                </a:gs>
              </a:gsLst>
              <a:lin ang="5400000" scaled="1"/>
            </a:gradFill>
            <a:ln>
              <a:noFill/>
            </a:ln>
            <a:effectLst/>
          </c:spPr>
          <c:invertIfNegative val="0"/>
          <c:dLbls>
            <c:delete val="1"/>
          </c:dLbls>
          <c:cat>
            <c:strRef>
              <c:f>Sheet1!$A$2:$A$5</c:f>
              <c:strCache>
                <c:ptCount val="4"/>
                <c:pt idx="1">
                  <c:v>2022年一般公共预算财政拨款支出</c:v>
                </c:pt>
                <c:pt idx="3">
                  <c:v>2023年一般公共预算财政拨款支出</c:v>
                </c:pt>
              </c:strCache>
            </c:strRef>
          </c:cat>
          <c:val>
            <c:numRef>
              <c:f>Sheet1!$B$2:$B$5</c:f>
              <c:numCache>
                <c:formatCode>General</c:formatCode>
                <c:ptCount val="4"/>
              </c:numCache>
            </c:numRef>
          </c:val>
        </c:ser>
        <c:ser>
          <c:idx val="1"/>
          <c:order val="1"/>
          <c:tx>
            <c:strRef>
              <c:f>Sheet1!$C$1</c:f>
              <c:strCache>
                <c:ptCount val="1"/>
                <c:pt idx="0">
                  <c:v>2022年</c:v>
                </c:pt>
              </c:strCache>
            </c:strRef>
          </c:tx>
          <c:spPr>
            <a:gradFill>
              <a:gsLst>
                <a:gs pos="100000">
                  <a:schemeClr val="accent1">
                    <a:alpha val="50000"/>
                  </a:schemeClr>
                </a:gs>
                <a:gs pos="0">
                  <a:schemeClr val="accent1"/>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2022年一般公共预算财政拨款支出</c:v>
                </c:pt>
                <c:pt idx="3">
                  <c:v>2023年一般公共预算财政拨款支出</c:v>
                </c:pt>
              </c:strCache>
            </c:strRef>
          </c:cat>
          <c:val>
            <c:numRef>
              <c:f>Sheet1!$C$2:$C$5</c:f>
              <c:numCache>
                <c:formatCode>General</c:formatCode>
                <c:ptCount val="4"/>
                <c:pt idx="1">
                  <c:v>340.62</c:v>
                </c:pt>
              </c:numCache>
            </c:numRef>
          </c:val>
        </c:ser>
        <c:ser>
          <c:idx val="2"/>
          <c:order val="2"/>
          <c:tx>
            <c:strRef>
              <c:f>Sheet1!$D$1</c:f>
              <c:strCache>
                <c:ptCount val="1"/>
                <c:pt idx="0">
                  <c:v>2023年</c:v>
                </c:pt>
              </c:strCache>
            </c:strRef>
          </c:tx>
          <c:spPr>
            <a:gradFill>
              <a:gsLst>
                <a:gs pos="100000">
                  <a:schemeClr val="accent1">
                    <a:alpha val="50000"/>
                  </a:schemeClr>
                </a:gs>
                <a:gs pos="0">
                  <a:schemeClr val="accent1">
                    <a:alpha val="80000"/>
                  </a:schemeClr>
                </a:gs>
              </a:gsLst>
              <a:lin ang="5400000" scaled="1"/>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1">
                  <c:v>2022年一般公共预算财政拨款支出</c:v>
                </c:pt>
                <c:pt idx="3">
                  <c:v>2023年一般公共预算财政拨款支出</c:v>
                </c:pt>
              </c:strCache>
            </c:strRef>
          </c:cat>
          <c:val>
            <c:numRef>
              <c:f>Sheet1!$D$2:$D$5</c:f>
              <c:numCache>
                <c:formatCode>General</c:formatCode>
                <c:ptCount val="4"/>
                <c:pt idx="3">
                  <c:v>476.42</c:v>
                </c:pt>
              </c:numCache>
            </c:numRef>
          </c:val>
        </c:ser>
        <c:dLbls>
          <c:showLegendKey val="0"/>
          <c:showVal val="0"/>
          <c:showCatName val="0"/>
          <c:showSerName val="0"/>
          <c:showPercent val="0"/>
          <c:showBubbleSize val="0"/>
        </c:dLbls>
        <c:gapWidth val="500"/>
        <c:overlap val="-100"/>
        <c:axId val="799487717"/>
        <c:axId val="548121548"/>
      </c:barChart>
      <c:catAx>
        <c:axId val="799487717"/>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9525" cap="flat" cmpd="sng" algn="ctr">
            <a:solidFill>
              <a:schemeClr val="tx1">
                <a:lumMod val="50000"/>
                <a:lumOff val="50000"/>
                <a:alpha val="30000"/>
              </a:schemeClr>
            </a:solidFill>
            <a:round/>
          </a:ln>
          <a:effectLst/>
        </c:spPr>
        <c:txPr>
          <a:bodyPr rot="-60000000" spcFirstLastPara="0" vertOverflow="ellipsis" vert="horz" wrap="square" anchor="ctr" anchorCtr="1" forceAA="0"/>
          <a:lstStyle/>
          <a:p>
            <a:pPr>
              <a:defRPr lang="zh-CN" sz="800" b="0" i="0" u="none" strike="noStrike" kern="1200" cap="none" spc="0" normalizeH="0" baseline="0">
                <a:solidFill>
                  <a:schemeClr val="tx1">
                    <a:lumMod val="65000"/>
                    <a:lumOff val="35000"/>
                  </a:schemeClr>
                </a:solidFill>
                <a:uFill>
                  <a:solidFill>
                    <a:schemeClr val="tx1">
                      <a:lumMod val="65000"/>
                      <a:lumOff val="35000"/>
                    </a:schemeClr>
                  </a:solidFill>
                </a:uFill>
                <a:latin typeface="+mn-lt"/>
                <a:ea typeface="+mn-ea"/>
                <a:cs typeface="+mn-cs"/>
              </a:defRPr>
            </a:pPr>
          </a:p>
        </c:txPr>
        <c:crossAx val="548121548"/>
        <c:crosses val="autoZero"/>
        <c:auto val="1"/>
        <c:lblAlgn val="ctr"/>
        <c:lblOffset val="100"/>
        <c:noMultiLvlLbl val="0"/>
      </c:catAx>
      <c:valAx>
        <c:axId val="548121548"/>
        <c:scaling>
          <c:orientation val="minMax"/>
        </c:scaling>
        <c:delete val="0"/>
        <c:axPos val="l"/>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799487717"/>
        <c:crosses val="autoZero"/>
        <c:crossBetween val="between"/>
      </c:valAx>
      <c:spPr>
        <a:noFill/>
        <a:ln>
          <a:noFill/>
        </a:ln>
        <a:effectLst/>
      </c:spPr>
    </c:plotArea>
    <c:legend>
      <c:legendPos val="t"/>
      <c:legendEntry>
        <c:idx val="0"/>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一般公共服务支出</c:v>
                </c:pt>
              </c:strCache>
            </c:strRef>
          </c:tx>
          <c:spPr/>
          <c:explosion val="0"/>
          <c:dPt>
            <c:idx val="0"/>
            <c:bubble3D val="0"/>
            <c:spPr>
              <a:gradFill>
                <a:gsLst>
                  <a:gs pos="70000">
                    <a:schemeClr val="accent1"/>
                  </a:gs>
                  <a:gs pos="0">
                    <a:schemeClr val="accent1">
                      <a:lumMod val="60000"/>
                      <a:lumOff val="40000"/>
                    </a:schemeClr>
                  </a:gs>
                </a:gsLst>
                <a:lin ang="5400000"/>
              </a:gradFill>
              <a:ln w="19050">
                <a:solidFill>
                  <a:schemeClr val="lt1"/>
                </a:solidFill>
              </a:ln>
              <a:effectLst>
                <a:outerShdw blurRad="63500" sx="102000" sy="102000" algn="ctr" rotWithShape="0">
                  <a:prstClr val="black">
                    <a:alpha val="25000"/>
                  </a:prstClr>
                </a:outerShdw>
              </a:effectLst>
            </c:spPr>
          </c:dPt>
          <c:dPt>
            <c:idx val="1"/>
            <c:bubble3D val="0"/>
            <c:spPr>
              <a:gradFill>
                <a:gsLst>
                  <a:gs pos="70000">
                    <a:schemeClr val="accent2"/>
                  </a:gs>
                  <a:gs pos="0">
                    <a:schemeClr val="accent2">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2"/>
            <c:bubble3D val="0"/>
            <c:spPr>
              <a:gradFill>
                <a:gsLst>
                  <a:gs pos="70000">
                    <a:schemeClr val="accent3"/>
                  </a:gs>
                  <a:gs pos="0">
                    <a:schemeClr val="accent3">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Pt>
            <c:idx val="3"/>
            <c:bubble3D val="0"/>
            <c:spPr>
              <a:gradFill>
                <a:gsLst>
                  <a:gs pos="70000">
                    <a:schemeClr val="accent4"/>
                  </a:gs>
                  <a:gs pos="0">
                    <a:schemeClr val="accent4">
                      <a:lumMod val="60000"/>
                      <a:lumOff val="40000"/>
                    </a:schemeClr>
                  </a:gs>
                </a:gsLst>
                <a:lin ang="5400000" scaled="0"/>
              </a:gradFill>
              <a:ln w="19050">
                <a:solidFill>
                  <a:schemeClr val="lt1"/>
                </a:solidFill>
              </a:ln>
              <a:effectLst>
                <a:outerShdw blurRad="63500" sx="102000" sy="102000" algn="ctr" rotWithShape="0">
                  <a:prstClr val="black">
                    <a:alpha val="25000"/>
                  </a:prstClr>
                </a:outerShdw>
              </a:effectLst>
            </c:spPr>
          </c:dPt>
          <c:dLbls>
            <c:dLbl>
              <c:idx val="0"/>
              <c:layout/>
              <c:dLblPos val="outEnd"/>
              <c:showLegendKey val="0"/>
              <c:showVal val="0"/>
              <c:showCatName val="0"/>
              <c:showSerName val="0"/>
              <c:showPercent val="1"/>
              <c:showBubbleSize val="0"/>
              <c:extLst>
                <c:ext xmlns:c15="http://schemas.microsoft.com/office/drawing/2012/chart" uri="{CE6537A1-D6FC-4f65-9D91-7224C49458BB}">
                  <c15:layout>
                    <c:manualLayout>
                      <c:w val="0.142159427873714"/>
                      <c:h val="0.0955717488789238"/>
                    </c:manualLayout>
                  </c15:layout>
                </c:ext>
              </c:extLst>
            </c:dLbl>
            <c:dLbl>
              <c:idx val="1"/>
              <c:layout>
                <c:manualLayout>
                  <c:x val="-0.126635269492412"/>
                  <c:y val="0.070067264573991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141810570381999"/>
                  <c:y val="0.0280269058295964"/>
                </c:manualLayout>
              </c:layout>
              <c:tx>
                <c:rich>
                  <a:bodyPr rot="0" spcFirstLastPara="0" vertOverflow="ellipsis" vert="horz" wrap="square" lIns="38100" tIns="19050" rIns="38100" bIns="19050" anchor="ctr" anchorCtr="1"/>
                  <a:lstStyle/>
                  <a:p>
                    <a:pPr defTabSz="914400">
                      <a:defRPr lang="zh-CN" sz="1100" b="0" i="0" u="none" strike="noStrike" kern="1200" baseline="0">
                        <a:solidFill>
                          <a:schemeClr val="bg1"/>
                        </a:solidFill>
                        <a:latin typeface="+mn-lt"/>
                        <a:ea typeface="+mn-ea"/>
                        <a:cs typeface="+mn-cs"/>
                      </a:defRPr>
                    </a:pPr>
                    <a:r>
                      <a:t>3.7</a:t>
                    </a:r>
                    <a:r>
                      <a:rPr lang="en-US" altLang="zh-CN"/>
                      <a:t>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02564102564103"/>
                  <c:y val="0.0368642095106451"/>
                </c:manualLayout>
              </c:layout>
              <c:tx>
                <c:rich>
                  <a:bodyPr rot="0" spcFirstLastPara="0" vertOverflow="ellipsis" vert="horz" wrap="square" lIns="38100" tIns="19050" rIns="38100" bIns="19050" anchor="ctr" anchorCtr="1"/>
                  <a:lstStyle/>
                  <a:p>
                    <a:pPr defTabSz="914400">
                      <a:defRPr lang="zh-CN" sz="1100" b="0" i="0" u="none" strike="noStrike" kern="1200" baseline="0">
                        <a:solidFill>
                          <a:schemeClr val="bg1"/>
                        </a:solidFill>
                        <a:latin typeface="+mn-lt"/>
                        <a:ea typeface="+mn-ea"/>
                        <a:cs typeface="+mn-cs"/>
                      </a:defRPr>
                    </a:pPr>
                    <a:r>
                      <a:t>4.</a:t>
                    </a:r>
                    <a:r>
                      <a:rPr lang="en-US" altLang="zh-CN"/>
                      <a:t>39</a:t>
                    </a:r>
                    <a:r>
                      <a:t>%</a:t>
                    </a:r>
                  </a:p>
                </c:rich>
              </c:tx>
              <c:dLblPos val="bestFit"/>
              <c:showLegendKey val="0"/>
              <c:showVal val="0"/>
              <c:showCatName val="0"/>
              <c:showSerName val="0"/>
              <c:showPercent val="1"/>
              <c:showBubbleSize val="0"/>
              <c:extLst>
                <c:ext xmlns:c15="http://schemas.microsoft.com/office/drawing/2012/chart" uri="{CE6537A1-D6FC-4f65-9D91-7224C49458BB}">
                  <c15:layout>
                    <c:manualLayout>
                      <c:w val="0.164660736089308"/>
                      <c:h val="0.0913677130044843"/>
                    </c:manualLayout>
                  </c15:layout>
                </c:ext>
              </c:extLst>
            </c:dLbl>
            <c:numFmt formatCode="0.00%" sourceLinked="0"/>
            <c:spPr>
              <a:solidFill>
                <a:schemeClr val="accent1">
                  <a:lumMod val="40000"/>
                  <a:lumOff val="60000"/>
                </a:schemeClr>
              </a:solidFill>
              <a:ln w="12700" cmpd="sng">
                <a:noFill/>
                <a:prstDash val="solid"/>
              </a:ln>
              <a:effectLst/>
            </c:spPr>
            <c:txPr>
              <a:bodyPr rot="0" spcFirstLastPara="0" vertOverflow="ellipsis" vert="horz" wrap="square" lIns="38100" tIns="19050" rIns="38100" bIns="19050" anchor="ctr" anchorCtr="1" forceAA="0"/>
              <a:lstStyle/>
              <a:p>
                <a:pPr>
                  <a:defRPr lang="zh-CN" sz="1100" b="0" i="0" u="none" strike="noStrike" kern="1200" baseline="0">
                    <a:solidFill>
                      <a:schemeClr val="bg1"/>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402.76</c:v>
                </c:pt>
                <c:pt idx="1">
                  <c:v>35.05</c:v>
                </c:pt>
                <c:pt idx="2">
                  <c:v>17.64</c:v>
                </c:pt>
                <c:pt idx="3">
                  <c:v>20.94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sz="11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pieChart>
        <c:varyColors val="1"/>
        <c:ser>
          <c:idx val="0"/>
          <c:order val="0"/>
          <c:tx>
            <c:strRef>
              <c:f>Sheet1!$B$1</c:f>
              <c:strCache>
                <c:ptCount val="1"/>
                <c:pt idx="0">
                  <c:v>因公出国（境）费支出</c:v>
                </c:pt>
              </c:strCache>
            </c:strRef>
          </c:tx>
          <c:spPr>
            <a:ln w="15875">
              <a:solidFill>
                <a:schemeClr val="bg1"/>
              </a:solidFill>
            </a:ln>
            <a:effectLst>
              <a:outerShdw blurRad="63500" sx="102000" sy="102000" algn="ctr" rotWithShape="0">
                <a:schemeClr val="tx1">
                  <a:lumMod val="50000"/>
                  <a:lumOff val="50000"/>
                  <a:alpha val="40000"/>
                </a:schemeClr>
              </a:outerShdw>
            </a:effectLst>
            <a:sp3d contourW="15875"/>
          </c:spPr>
          <c:explosion val="0"/>
          <c:dPt>
            <c:idx val="0"/>
            <c:bubble3D val="0"/>
            <c:spPr>
              <a:gradFill>
                <a:gsLst>
                  <a:gs pos="0">
                    <a:schemeClr val="accent1">
                      <a:lumMod val="60000"/>
                      <a:lumOff val="40000"/>
                    </a:schemeClr>
                  </a:gs>
                  <a:gs pos="80000">
                    <a:schemeClr val="accent1"/>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1"/>
            <c:bubble3D val="0"/>
            <c:spPr>
              <a:gradFill>
                <a:gsLst>
                  <a:gs pos="0">
                    <a:schemeClr val="accent2">
                      <a:lumMod val="60000"/>
                      <a:lumOff val="40000"/>
                    </a:schemeClr>
                  </a:gs>
                  <a:gs pos="80000">
                    <a:schemeClr val="accent2"/>
                  </a:gs>
                </a:gsLst>
                <a:lin ang="2700000" scaled="0"/>
              </a:gradFill>
              <a:ln w="15875">
                <a:solidFill>
                  <a:schemeClr val="bg1"/>
                </a:solidFill>
              </a:ln>
              <a:effectLst>
                <a:outerShdw blurRad="63500" sx="102000" sy="102000" algn="ctr" rotWithShape="0">
                  <a:schemeClr val="tx1">
                    <a:lumMod val="50000"/>
                    <a:lumOff val="50000"/>
                    <a:alpha val="40000"/>
                  </a:schemeClr>
                </a:outerShdw>
              </a:effectLst>
              <a:sp3d contourW="15875"/>
            </c:spPr>
          </c:dPt>
          <c:dPt>
            <c:idx val="2"/>
            <c:bubble3D val="0"/>
            <c:spPr>
              <a:gradFill>
                <a:gsLst>
                  <a:gs pos="0">
                    <a:schemeClr val="accent3">
                      <a:lumMod val="60000"/>
                      <a:lumOff val="40000"/>
                    </a:schemeClr>
                  </a:gs>
                  <a:gs pos="80000">
                    <a:schemeClr val="accent3"/>
                  </a:gs>
                </a:gsLst>
                <a:lin ang="2700000" scaled="0"/>
              </a:gradFill>
              <a:ln w="19050">
                <a:solidFill>
                  <a:schemeClr val="bg1"/>
                </a:solidFill>
              </a:ln>
              <a:effectLst>
                <a:outerShdw blurRad="63500" sx="102000" sy="102000" algn="ctr" rotWithShape="0">
                  <a:schemeClr val="tx1">
                    <a:lumMod val="50000"/>
                    <a:lumOff val="50000"/>
                    <a:alpha val="40000"/>
                  </a:schemeClr>
                </a:outerShdw>
              </a:effectLst>
              <a:sp3d contourW="19050"/>
            </c:spPr>
          </c:dPt>
          <c:dPt>
            <c:idx val="3"/>
            <c:bubble3D val="0"/>
            <c:spPr>
              <a:pattFill prst="dkUpDiag">
                <a:fgClr>
                  <a:schemeClr val="accent4">
                    <a:lumMod val="60000"/>
                    <a:lumOff val="40000"/>
                  </a:schemeClr>
                </a:fgClr>
                <a:bgClr>
                  <a:schemeClr val="accent4"/>
                </a:bgClr>
              </a:pattFill>
              <a:ln w="15875">
                <a:solidFill>
                  <a:schemeClr val="bg1"/>
                </a:solidFill>
              </a:ln>
              <a:effectLst>
                <a:outerShdw blurRad="63500" sx="102000" sy="102000" algn="ctr" rotWithShape="0">
                  <a:schemeClr val="tx1">
                    <a:lumMod val="50000"/>
                    <a:lumOff val="50000"/>
                    <a:alpha val="40000"/>
                  </a:schemeClr>
                </a:outerShdw>
              </a:effectLst>
              <a:sp3d contourW="15875"/>
            </c:spPr>
          </c:dPt>
          <c:dLbls>
            <c:dLbl>
              <c:idx val="0"/>
              <c:layout/>
              <c:numFmt formatCode="General" sourceLinked="1"/>
              <c:spPr>
                <a:solidFill>
                  <a:schemeClr val="lt1"/>
                </a:solidFill>
                <a:ln>
                  <a:solidFill>
                    <a:schemeClr val="accent1"/>
                  </a:solidFill>
                </a:ln>
                <a:effectLst>
                  <a:outerShdw blurRad="63500" sx="102000" sy="102000" algn="ctr" rotWithShape="0">
                    <a:schemeClr val="accent1">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1"/>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1"/>
              <c:layout/>
              <c:numFmt formatCode="General" sourceLinked="1"/>
              <c:spPr>
                <a:solidFill>
                  <a:schemeClr val="lt1"/>
                </a:solidFill>
                <a:ln>
                  <a:solidFill>
                    <a:schemeClr val="accent2"/>
                  </a:solidFill>
                </a:ln>
                <a:effectLst>
                  <a:outerShdw blurRad="63500" sx="102000" sy="102000" algn="ctr" rotWithShape="0">
                    <a:schemeClr val="accent2">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2"/>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2"/>
              <c:layout/>
              <c:numFmt formatCode="General" sourceLinked="1"/>
              <c:spPr>
                <a:solidFill>
                  <a:schemeClr val="lt1"/>
                </a:solidFill>
                <a:ln>
                  <a:solidFill>
                    <a:schemeClr val="accent3"/>
                  </a:solidFill>
                </a:ln>
                <a:effectLst>
                  <a:outerShdw blurRad="63500" sx="102000" sy="102000" algn="ctr" rotWithShape="0">
                    <a:schemeClr val="accent3">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3">
                          <a:lumMod val="75000"/>
                        </a:schemeClr>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dLbl>
              <c:idx val="3"/>
              <c:layout/>
              <c:numFmt formatCode="General" sourceLinked="1"/>
              <c:spPr>
                <a:solidFill>
                  <a:schemeClr val="lt1"/>
                </a:solidFill>
                <a:ln>
                  <a:solidFill>
                    <a:schemeClr val="accent4"/>
                  </a:solidFill>
                </a:ln>
                <a:effectLst>
                  <a:outerShdw blurRad="63500" sx="102000" sy="102000" algn="ctr" rotWithShape="0">
                    <a:schemeClr val="accent4">
                      <a:lumMod val="50000"/>
                      <a:alpha val="40000"/>
                    </a:schemeClr>
                  </a:outerShdw>
                </a:effectLst>
              </c:spPr>
              <c:txPr>
                <a:bodyPr rot="0" spcFirstLastPara="0" vertOverflow="clip" vert="horz" wrap="square" lIns="36576" tIns="18288" rIns="36576" bIns="18288" anchor="ctr" anchorCtr="1" forceAA="0"/>
                <a:lstStyle/>
                <a:p>
                  <a:pPr>
                    <a:defRPr lang="zh-CN" sz="900" b="0" i="0" u="none" strike="noStrike" kern="1200" baseline="0">
                      <a:solidFill>
                        <a:schemeClr val="accent4"/>
                      </a:solidFill>
                      <a:latin typeface="+mn-lt"/>
                      <a:ea typeface="+mn-ea"/>
                      <a:cs typeface="+mn-cs"/>
                    </a:defRPr>
                  </a:pPr>
                </a:p>
              </c:txPr>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solidFill>
                <a:schemeClr val="lt1"/>
              </a:solidFill>
              <a:ln>
                <a:solidFill>
                  <a:schemeClr val="dk1">
                    <a:lumMod val="25000"/>
                    <a:lumOff val="75000"/>
                  </a:schemeClr>
                </a:solidFill>
              </a:ln>
              <a:effectLst>
                <a:outerShdw blurRad="63500" sx="102000" sy="102000" algn="ctr" rotWithShape="0">
                  <a:prstClr val="black">
                    <a:alpha val="40000"/>
                  </a:prstClr>
                </a:outerShdw>
              </a:effectLst>
            </c:spPr>
            <c:txPr>
              <a:bodyPr rot="0" spcFirstLastPara="0" vertOverflow="clip" horzOverflow="clip" vert="horz" wrap="square" lIns="36576" tIns="18288" rIns="36576" bIns="18288" anchor="ctr" anchorCtr="1" forceAA="0">
                <a:spAutoFit/>
              </a:bodyPr>
              <a:lstStyle/>
              <a:p>
                <a:pPr>
                  <a:defRPr lang="zh-CN" sz="900" b="0" i="0" u="none" strike="noStrike" kern="1200" baseline="0">
                    <a:solidFill>
                      <a:schemeClr val="dk1">
                        <a:lumMod val="65000"/>
                        <a:lumOff val="3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因公出国（境）费支出</c:v>
                </c:pt>
                <c:pt idx="1">
                  <c:v>公务用车购置及运行维护费支出</c:v>
                </c:pt>
                <c:pt idx="2">
                  <c:v>公务接待费支出</c:v>
                </c:pt>
              </c:strCache>
            </c:strRef>
          </c:cat>
          <c:val>
            <c:numRef>
              <c:f>Sheet1!$B$2:$B$5</c:f>
              <c:numCache>
                <c:formatCode>General</c:formatCode>
                <c:ptCount val="4"/>
                <c:pt idx="0">
                  <c:v>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85000"/>
        </a:schemeClr>
      </a:solidFill>
      <a:prstDash val="solid"/>
      <a:round/>
    </a:ln>
    <a:effectLst>
      <a:outerShdw blurRad="63500" dist="37357" dir="2700000" sx="0" sy="0" rotWithShape="0">
        <a:scrgbClr r="0" g="0" b="0"/>
      </a:outerShdw>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17</Pages>
  <Words>4861</Words>
  <Characters>5213</Characters>
  <Lines>54</Lines>
  <Paragraphs>15</Paragraphs>
  <TotalTime>3</TotalTime>
  <ScaleCrop>false</ScaleCrop>
  <LinksUpToDate>false</LinksUpToDate>
  <CharactersWithSpaces>5324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2020-08-08T01:49:00Z</dcterms:created>
  <dc:creator>曹颖</dc:creator>
  <cp:lastModifiedBy>Administrator</cp:lastModifiedBy>
  <cp:lastPrinted>2024-09-18T10:44:00Z</cp:lastPrinted>
  <dcterms:modified xsi:type="dcterms:W3CDTF">2024-09-23T01:18:39Z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B5756AC9DCC644A59675E54444B25E85_12</vt:lpwstr>
  </property>
</Properties>
</file>