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eastAsia" w:ascii="方正小标宋简体" w:hAnsi="宋体" w:eastAsia="方正小标宋简体"/>
          <w:sz w:val="72"/>
          <w:szCs w:val="72"/>
        </w:rPr>
      </w:pPr>
      <w:bookmarkStart w:id="0" w:name="_Toc15396597"/>
      <w:bookmarkStart w:id="1" w:name="_Toc15396475"/>
      <w:bookmarkStart w:id="2" w:name="_Toc15377193"/>
      <w:bookmarkStart w:id="3" w:name="_Toc15378441"/>
      <w:bookmarkStart w:id="4" w:name="_Toc15377425"/>
      <w:bookmarkStart w:id="5" w:name="_Toc15306267"/>
    </w:p>
    <w:p>
      <w:pPr>
        <w:pStyle w:val="7"/>
        <w:spacing w:before="93"/>
      </w:pPr>
    </w:p>
    <w:p>
      <w:pPr>
        <w:spacing w:line="600" w:lineRule="exact"/>
        <w:jc w:val="center"/>
        <w:outlineLvl w:val="9"/>
        <w:rPr>
          <w:rFonts w:hint="eastAsia" w:ascii="方正小标宋简体" w:hAnsi="宋体" w:eastAsia="方正小标宋简体"/>
          <w:sz w:val="72"/>
          <w:szCs w:val="72"/>
        </w:rPr>
      </w:pPr>
    </w:p>
    <w:p>
      <w:pPr>
        <w:spacing w:line="600" w:lineRule="exact"/>
        <w:jc w:val="center"/>
        <w:outlineLvl w:val="9"/>
        <w:rPr>
          <w:rFonts w:hint="eastAsia" w:ascii="方正小标宋简体" w:hAnsi="宋体" w:eastAsia="方正小标宋简体"/>
          <w:sz w:val="72"/>
          <w:szCs w:val="72"/>
        </w:rPr>
      </w:pPr>
    </w:p>
    <w:p>
      <w:pPr>
        <w:adjustRightInd w:val="0"/>
        <w:snapToGrid w:val="0"/>
        <w:spacing w:line="360" w:lineRule="auto"/>
        <w:jc w:val="center"/>
        <w:outlineLvl w:val="9"/>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pPr>
        <w:adjustRightInd w:val="0"/>
        <w:snapToGrid w:val="0"/>
        <w:spacing w:line="360" w:lineRule="auto"/>
        <w:jc w:val="center"/>
        <w:rPr>
          <w:rFonts w:hint="eastAsia" w:ascii="方正小标宋简体" w:hAnsi="方正小标宋简体" w:eastAsia="方正小标宋简体" w:cs="方正小标宋简体"/>
          <w:sz w:val="72"/>
          <w:szCs w:val="72"/>
        </w:rPr>
      </w:pPr>
      <w:bookmarkStart w:id="6" w:name="_Toc15306268"/>
      <w:bookmarkStart w:id="7" w:name="_Toc15396476"/>
      <w:bookmarkStart w:id="8" w:name="_Toc15377194"/>
      <w:bookmarkStart w:id="9" w:name="_Toc15378442"/>
      <w:bookmarkStart w:id="10" w:name="_Toc15377426"/>
      <w:bookmarkStart w:id="11" w:name="_Toc15396598"/>
      <w:r>
        <w:rPr>
          <w:rFonts w:hint="eastAsia" w:ascii="方正小标宋简体" w:hAnsi="方正小标宋简体" w:eastAsia="方正小标宋简体" w:cs="方正小标宋简体"/>
          <w:sz w:val="72"/>
          <w:szCs w:val="72"/>
        </w:rPr>
        <w:t>中共攀枝花市纪委</w:t>
      </w:r>
    </w:p>
    <w:p>
      <w:pPr>
        <w:adjustRightInd w:val="0"/>
        <w:snapToGrid w:val="0"/>
        <w:spacing w:line="36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攀枝花市监察委员会</w:t>
      </w:r>
    </w:p>
    <w:p>
      <w:pPr>
        <w:adjustRightInd w:val="0"/>
        <w:snapToGrid w:val="0"/>
        <w:spacing w:line="36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hint="eastAsia" w:ascii="黑体" w:hAnsi="黑体" w:eastAsia="黑体" w:cstheme="minorBidi"/>
          <w:sz w:val="28"/>
          <w:szCs w:val="28"/>
        </w:rPr>
      </w:pPr>
    </w:p>
    <w:p>
      <w:pPr>
        <w:pStyle w:val="13"/>
        <w:rPr>
          <w:rFonts w:hint="eastAsia"/>
        </w:rPr>
      </w:pPr>
      <w:r>
        <w:rPr>
          <w:rFonts w:hint="eastAsia"/>
        </w:rPr>
        <w:t>公开时间：202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p/>
    <w:sdt>
      <w:sdtPr>
        <w:rPr>
          <w:rFonts w:ascii="宋体" w:hAnsi="宋体" w:eastAsia="宋体" w:cs="Times New Roman"/>
          <w:kern w:val="2"/>
          <w:sz w:val="21"/>
          <w:szCs w:val="24"/>
          <w:lang w:val="en-US" w:eastAsia="zh-CN" w:bidi="ar-SA"/>
        </w:rPr>
        <w:id w:val="147465170"/>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2" w:name="_Toc15377196"/>
          <w:bookmarkStart w:id="13" w:name="_Toc15396599"/>
        </w:p>
        <w:p>
          <w:pPr>
            <w:pStyle w:val="13"/>
            <w:tabs>
              <w:tab w:val="right" w:leader="dot" w:pos="8306"/>
              <w:tab w:val="clear" w:pos="8296"/>
            </w:tabs>
            <w:rPr>
              <w:rFonts w:hint="default" w:ascii="Times New Roman" w:hAnsi="Times New Roman" w:cs="Times New Roman"/>
              <w:sz w:val="33"/>
              <w:szCs w:val="33"/>
            </w:rPr>
          </w:pPr>
          <w:r>
            <w:rPr>
              <w:rFonts w:hint="eastAsia" w:ascii="Times New Roman" w:hAnsi="Times New Roman" w:cs="Times New Roman"/>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_Toc3985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 xml:space="preserve">第一部分 </w:t>
          </w:r>
          <w:r>
            <w:rPr>
              <w:rFonts w:hint="default" w:ascii="Times New Roman" w:hAnsi="Times New Roman" w:eastAsia="黑体" w:cs="Times New Roman"/>
              <w:bCs w:val="0"/>
              <w:sz w:val="33"/>
              <w:szCs w:val="33"/>
            </w:rPr>
            <w:t>部门概况</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_Toc3985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4</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5"/>
            <w:tabs>
              <w:tab w:val="right" w:leader="dot" w:pos="8306"/>
              <w:tab w:val="clear" w:pos="8296"/>
            </w:tabs>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_Toc18412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一、部门职责</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_Toc18412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rPr>
              <w:rFonts w:hint="default" w:ascii="Times New Roman" w:hAnsi="Times New Roman"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_Toc24647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二、机</w:t>
          </w:r>
          <w:r>
            <w:rPr>
              <w:rFonts w:hint="default" w:ascii="Times New Roman" w:hAnsi="Times New Roman" w:eastAsia="方正仿宋_GBK" w:cs="Times New Roman"/>
              <w:bCs w:val="0"/>
              <w:sz w:val="33"/>
              <w:szCs w:val="33"/>
            </w:rPr>
            <w:t>构设置</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_Toc24647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3"/>
            <w:tabs>
              <w:tab w:val="right" w:leader="dot" w:pos="8306"/>
              <w:tab w:val="clear" w:pos="8296"/>
            </w:tabs>
            <w:ind w:firstLine="330" w:firstLineChars="100"/>
            <w:jc w:val="both"/>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_Toc18846 </w:instrText>
          </w:r>
          <w:r>
            <w:rPr>
              <w:rFonts w:hint="default" w:ascii="Times New Roman" w:hAnsi="Times New Roman" w:cs="Times New Roman"/>
              <w:sz w:val="33"/>
              <w:szCs w:val="33"/>
            </w:rPr>
            <w:fldChar w:fldCharType="separate"/>
          </w:r>
          <w:r>
            <w:rPr>
              <w:rFonts w:hint="eastAsia" w:ascii="黑体" w:hAnsi="黑体" w:eastAsia="黑体" w:cs="黑体"/>
              <w:sz w:val="33"/>
              <w:szCs w:val="33"/>
            </w:rPr>
            <w:t xml:space="preserve">第二部分 </w:t>
          </w:r>
          <w:r>
            <w:rPr>
              <w:rFonts w:hint="default" w:ascii="Times New Roman" w:hAnsi="Times New Roman" w:eastAsia="黑体" w:cs="Times New Roman"/>
              <w:sz w:val="33"/>
              <w:szCs w:val="33"/>
            </w:rPr>
            <w:t>2023</w:t>
          </w:r>
          <w:r>
            <w:rPr>
              <w:rFonts w:hint="eastAsia" w:ascii="黑体" w:hAnsi="黑体" w:eastAsia="黑体" w:cs="黑体"/>
              <w:sz w:val="33"/>
              <w:szCs w:val="33"/>
            </w:rPr>
            <w:t>年度部门决算情况说明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_Toc18846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5</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5"/>
            <w:tabs>
              <w:tab w:val="right" w:leader="dot" w:pos="8306"/>
              <w:tab w:val="clear" w:pos="8296"/>
            </w:tabs>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_Toc21079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一、收入支出决算总体情况说明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_Toc21079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5</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_Toc5667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二、收入决算情况说明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_Toc5667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5</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_Toc27720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三、支出决算情况说明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_Toc27720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6</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_Toc4849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四、财政拨款收入支出决算总体情况说明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_Toc4849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6</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_Toc15001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五、一般公共预算财政拨款支出决算情况说明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_Toc15001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7</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_Toc27618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六、一般公共预算财政拨款基本支出决算情况说明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_Toc27618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11</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_Toc11701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七、财政拨款“三公”经费支出决算情况说明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_Toc11701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12</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_Toc15332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八、政府性基金预算支出决算情况说明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_Toc15332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_Toc22608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九、国有资本经营预算支出决算情况说明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_Toc22608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rPr>
              <w:rFonts w:hint="default" w:ascii="Times New Roman" w:hAnsi="Times New Roman"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_Toc10322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十、其他重要事项的情况说明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_Toc10322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3"/>
            <w:tabs>
              <w:tab w:val="right" w:leader="dot" w:pos="8306"/>
              <w:tab w:val="clear" w:pos="8296"/>
            </w:tabs>
            <w:rPr>
              <w:rFonts w:hint="default" w:ascii="Times New Roman" w:hAnsi="Times New Roman" w:eastAsia="黑体" w:cs="Times New Roman"/>
              <w:sz w:val="33"/>
              <w:szCs w:val="33"/>
            </w:rPr>
          </w:pPr>
          <w:r>
            <w:rPr>
              <w:rFonts w:hint="eastAsia" w:ascii="Times New Roman" w:hAnsi="Times New Roman" w:eastAsia="黑体" w:cs="Times New Roman"/>
              <w:sz w:val="33"/>
              <w:szCs w:val="33"/>
              <w:lang w:val="en-US" w:eastAsia="zh-CN"/>
            </w:rPr>
            <w:t xml:space="preserve">  </w:t>
          </w:r>
          <w:r>
            <w:rPr>
              <w:rFonts w:hint="default" w:ascii="Times New Roman" w:hAnsi="Times New Roman" w:eastAsia="黑体" w:cs="Times New Roman"/>
              <w:sz w:val="33"/>
              <w:szCs w:val="33"/>
            </w:rPr>
            <w:fldChar w:fldCharType="begin"/>
          </w:r>
          <w:r>
            <w:rPr>
              <w:rFonts w:hint="default" w:ascii="Times New Roman" w:hAnsi="Times New Roman" w:eastAsia="黑体" w:cs="Times New Roman"/>
              <w:sz w:val="33"/>
              <w:szCs w:val="33"/>
            </w:rPr>
            <w:instrText xml:space="preserve"> HYPERLINK \l _Toc6636 </w:instrText>
          </w:r>
          <w:r>
            <w:rPr>
              <w:rFonts w:hint="default" w:ascii="Times New Roman" w:hAnsi="Times New Roman" w:eastAsia="黑体" w:cs="Times New Roman"/>
              <w:sz w:val="33"/>
              <w:szCs w:val="33"/>
            </w:rPr>
            <w:fldChar w:fldCharType="separate"/>
          </w:r>
          <w:r>
            <w:rPr>
              <w:rFonts w:hint="default" w:ascii="Times New Roman" w:hAnsi="Times New Roman" w:eastAsia="黑体" w:cs="Times New Roman"/>
              <w:sz w:val="33"/>
              <w:szCs w:val="33"/>
            </w:rPr>
            <w:t>第三部分 名词解释</w:t>
          </w:r>
          <w:r>
            <w:rPr>
              <w:rFonts w:hint="default" w:ascii="Times New Roman" w:hAnsi="Times New Roman" w:eastAsia="黑体" w:cs="Times New Roman"/>
              <w:sz w:val="33"/>
              <w:szCs w:val="33"/>
            </w:rPr>
            <w:tab/>
          </w:r>
          <w:r>
            <w:rPr>
              <w:rFonts w:hint="default" w:ascii="Times New Roman" w:hAnsi="Times New Roman" w:eastAsia="黑体" w:cs="Times New Roman"/>
              <w:sz w:val="33"/>
              <w:szCs w:val="33"/>
            </w:rPr>
            <w:fldChar w:fldCharType="begin"/>
          </w:r>
          <w:r>
            <w:rPr>
              <w:rFonts w:hint="default" w:ascii="Times New Roman" w:hAnsi="Times New Roman" w:eastAsia="黑体" w:cs="Times New Roman"/>
              <w:sz w:val="33"/>
              <w:szCs w:val="33"/>
            </w:rPr>
            <w:instrText xml:space="preserve"> PAGEREF _Toc6636 \h </w:instrText>
          </w:r>
          <w:r>
            <w:rPr>
              <w:rFonts w:hint="default" w:ascii="Times New Roman" w:hAnsi="Times New Roman" w:eastAsia="黑体" w:cs="Times New Roman"/>
              <w:sz w:val="33"/>
              <w:szCs w:val="33"/>
            </w:rPr>
            <w:fldChar w:fldCharType="separate"/>
          </w:r>
          <w:r>
            <w:rPr>
              <w:rFonts w:hint="default" w:ascii="Times New Roman" w:hAnsi="Times New Roman" w:eastAsia="黑体" w:cs="Times New Roman"/>
              <w:sz w:val="33"/>
              <w:szCs w:val="33"/>
            </w:rPr>
            <w:t>16</w:t>
          </w:r>
          <w:r>
            <w:rPr>
              <w:rFonts w:hint="default" w:ascii="Times New Roman" w:hAnsi="Times New Roman" w:eastAsia="黑体" w:cs="Times New Roman"/>
              <w:sz w:val="33"/>
              <w:szCs w:val="33"/>
            </w:rPr>
            <w:fldChar w:fldCharType="end"/>
          </w:r>
          <w:r>
            <w:rPr>
              <w:rFonts w:hint="default" w:ascii="Times New Roman" w:hAnsi="Times New Roman" w:eastAsia="黑体" w:cs="Times New Roman"/>
              <w:sz w:val="33"/>
              <w:szCs w:val="33"/>
            </w:rPr>
            <w:fldChar w:fldCharType="end"/>
          </w:r>
        </w:p>
        <w:p>
          <w:pPr>
            <w:pStyle w:val="13"/>
            <w:tabs>
              <w:tab w:val="right" w:leader="dot" w:pos="8306"/>
              <w:tab w:val="clear" w:pos="8296"/>
            </w:tabs>
            <w:rPr>
              <w:rFonts w:hint="default" w:ascii="Times New Roman" w:hAnsi="Times New Roman" w:cs="Times New Roman"/>
              <w:sz w:val="33"/>
              <w:szCs w:val="33"/>
            </w:rPr>
          </w:pPr>
          <w:r>
            <w:rPr>
              <w:rFonts w:hint="eastAsia" w:ascii="Times New Roman" w:hAnsi="Times New Roman" w:cs="Times New Roman"/>
              <w:sz w:val="33"/>
              <w:szCs w:val="33"/>
              <w:lang w:val="en-US" w:eastAsia="zh-CN"/>
            </w:rPr>
            <w:t xml:space="preserve">  </w:t>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_Toc27632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第四部分 附件</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_Toc27632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19</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3"/>
            <w:tabs>
              <w:tab w:val="right" w:leader="dot" w:pos="8306"/>
              <w:tab w:val="clear" w:pos="8296"/>
            </w:tabs>
            <w:rPr>
              <w:rFonts w:hint="default" w:ascii="Times New Roman" w:hAnsi="Times New Roman" w:cs="Times New Roman"/>
              <w:sz w:val="33"/>
              <w:szCs w:val="33"/>
            </w:rPr>
          </w:pPr>
          <w:r>
            <w:rPr>
              <w:rFonts w:hint="eastAsia" w:ascii="Times New Roman" w:hAnsi="Times New Roman" w:cs="Times New Roman"/>
              <w:sz w:val="33"/>
              <w:szCs w:val="33"/>
              <w:lang w:val="en-US" w:eastAsia="zh-CN"/>
            </w:rPr>
            <w:t xml:space="preserve">  </w:t>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_Toc24157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第五部分 附表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_Toc24157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_Toc30428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一、收入支出决算总表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_Toc30428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_Toc8828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二、收入决算表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_Toc8828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_Toc13045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三、支出决算表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_Toc13045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_Toc12143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四、财政拨款收入支出决算总表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_Toc12143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_Toc14467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五、财政拨款支出决算明细表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_Toc14467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_Toc18732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六、一般公共预算财政拨款支出决算表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_Toc18732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_Toc23854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七、一般公共预算财政拨款支出决算明细表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_Toc23854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_Toc12838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八、一般公共预算财政拨款基本支出决算表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_Toc12838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_Toc6008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九、一般公共预算财政拨款项目支出决算表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_Toc6008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_Toc13632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十、政府性基金预算财政拨款收入支出决算表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_Toc13632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_Toc17251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十一、国有资本经营预算财政拨款收入支出决算表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_Toc17251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_Toc12409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十二、国有资本经营预算财政拨款支出决算表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_Toc12409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8"/>
            <w:tabs>
              <w:tab w:val="right" w:leader="dot" w:pos="8306"/>
              <w:tab w:val="clear" w:pos="8296"/>
            </w:tabs>
            <w:rPr>
              <w:rFonts w:hint="default" w:ascii="Times New Roman" w:hAnsi="Times New Roman" w:cs="Times New Roman"/>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_Toc30952 </w:instrText>
          </w:r>
          <w:r>
            <w:rPr>
              <w:rFonts w:hint="default" w:ascii="Times New Roman" w:hAnsi="Times New Roman" w:cs="Times New Roman"/>
              <w:sz w:val="33"/>
              <w:szCs w:val="33"/>
            </w:rPr>
            <w:fldChar w:fldCharType="separate"/>
          </w:r>
          <w:r>
            <w:rPr>
              <w:rFonts w:hint="default" w:ascii="Times New Roman" w:hAnsi="Times New Roman" w:eastAsia="仿宋" w:cs="Times New Roman"/>
              <w:sz w:val="33"/>
              <w:szCs w:val="33"/>
            </w:rPr>
            <w:t>十三、财政拨款“三公”经费支出决算表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_Toc30952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31</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r>
            <w:rPr>
              <w:rFonts w:hint="default" w:ascii="Times New Roman" w:hAnsi="Times New Roman" w:cs="Times New Roman"/>
            </w:rPr>
            <w:fldChar w:fldCharType="end"/>
          </w:r>
        </w:p>
      </w:sdtContent>
    </w:sdt>
    <w:p>
      <w:pPr>
        <w:widowControl/>
        <w:spacing w:line="440" w:lineRule="exact"/>
        <w:jc w:val="left"/>
        <w:rPr>
          <w:rFonts w:hint="eastAsia" w:ascii="仿宋" w:hAnsi="仿宋" w:eastAsia="仿宋"/>
          <w:bCs/>
          <w:kern w:val="44"/>
          <w:sz w:val="24"/>
        </w:rPr>
      </w:pPr>
      <w:r>
        <w:rPr>
          <w:rFonts w:ascii="仿宋" w:hAnsi="仿宋" w:eastAsia="仿宋"/>
          <w:b/>
          <w:sz w:val="24"/>
        </w:rPr>
        <w:br w:type="page"/>
      </w:r>
    </w:p>
    <w:p>
      <w:pPr>
        <w:pStyle w:val="4"/>
        <w:jc w:val="center"/>
        <w:rPr>
          <w:rStyle w:val="29"/>
          <w:rFonts w:hint="eastAsia" w:ascii="黑体" w:hAnsi="黑体" w:eastAsia="黑体"/>
          <w:b/>
          <w:bCs w:val="0"/>
        </w:rPr>
      </w:pPr>
      <w:bookmarkStart w:id="14" w:name="_Toc3985"/>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bookmarkEnd w:id="14"/>
    </w:p>
    <w:p>
      <w:pPr>
        <w:widowControl/>
        <w:jc w:val="left"/>
        <w:rPr>
          <w:rFonts w:ascii="黑体" w:eastAsia="黑体"/>
          <w:sz w:val="32"/>
          <w:szCs w:val="32"/>
        </w:rPr>
      </w:pPr>
    </w:p>
    <w:p>
      <w:pPr>
        <w:pStyle w:val="5"/>
        <w:numPr>
          <w:ilvl w:val="0"/>
          <w:numId w:val="0"/>
        </w:numPr>
        <w:spacing w:line="576" w:lineRule="exact"/>
        <w:ind w:firstLine="660" w:firstLineChars="200"/>
        <w:rPr>
          <w:rFonts w:hint="eastAsia" w:ascii="黑体" w:hAnsi="黑体" w:eastAsia="黑体"/>
          <w:b w:val="0"/>
          <w:sz w:val="33"/>
          <w:szCs w:val="33"/>
        </w:rPr>
      </w:pPr>
      <w:bookmarkStart w:id="15" w:name="_Toc18412"/>
      <w:r>
        <w:rPr>
          <w:rFonts w:hint="eastAsia" w:ascii="黑体" w:hAnsi="黑体" w:eastAsia="黑体"/>
          <w:b w:val="0"/>
          <w:sz w:val="33"/>
          <w:szCs w:val="33"/>
          <w:lang w:val="en-US" w:eastAsia="zh-CN"/>
        </w:rPr>
        <w:t>一、</w:t>
      </w:r>
      <w:r>
        <w:rPr>
          <w:rFonts w:hint="eastAsia" w:ascii="黑体" w:hAnsi="黑体" w:eastAsia="黑体"/>
          <w:b w:val="0"/>
          <w:sz w:val="33"/>
          <w:szCs w:val="33"/>
        </w:rPr>
        <w:t>部门职责</w:t>
      </w:r>
      <w:bookmarkEnd w:id="15"/>
    </w:p>
    <w:p>
      <w:pPr>
        <w:spacing w:line="576" w:lineRule="exact"/>
        <w:ind w:firstLine="640"/>
        <w:rPr>
          <w:sz w:val="33"/>
          <w:szCs w:val="33"/>
        </w:rPr>
      </w:pPr>
      <w:r>
        <w:rPr>
          <w:rFonts w:hint="eastAsia" w:eastAsia="方正仿宋_GBK"/>
          <w:sz w:val="33"/>
          <w:szCs w:val="33"/>
        </w:rPr>
        <w:t>一是负责党的纪律检查工作；二是依照党的章程和其他党内法规履行监督、执纪、问责职责；三是负责全市监察工作；四是依照法律规定履行监督、调查、处置职责；五是负责组织协调全面从严治党、党风廉政建设和反腐败宣传教育工作；六是负责综合分析全面从严治党、党风廉政建设和反腐败工作情况；七是协助市委管理、监督攀枝花纪检监察学院；八是完成市委、省纪委监委交办的其他任务。</w:t>
      </w:r>
    </w:p>
    <w:p>
      <w:pPr>
        <w:pStyle w:val="5"/>
        <w:spacing w:line="576" w:lineRule="exact"/>
        <w:ind w:firstLine="660" w:firstLineChars="200"/>
        <w:rPr>
          <w:rStyle w:val="30"/>
          <w:b w:val="0"/>
          <w:bCs w:val="0"/>
          <w:sz w:val="33"/>
          <w:szCs w:val="33"/>
        </w:rPr>
      </w:pPr>
      <w:bookmarkStart w:id="16" w:name="_Toc15377200"/>
      <w:bookmarkStart w:id="17" w:name="_Toc15396601"/>
      <w:bookmarkStart w:id="18" w:name="_Toc24647"/>
      <w:r>
        <w:rPr>
          <w:rFonts w:hint="eastAsia" w:ascii="黑体" w:eastAsia="黑体"/>
          <w:b w:val="0"/>
          <w:sz w:val="33"/>
          <w:szCs w:val="33"/>
        </w:rPr>
        <w:t>二、</w:t>
      </w:r>
      <w:r>
        <w:rPr>
          <w:rFonts w:hint="eastAsia" w:ascii="黑体" w:hAnsi="黑体" w:eastAsia="黑体"/>
          <w:b w:val="0"/>
          <w:sz w:val="33"/>
          <w:szCs w:val="33"/>
        </w:rPr>
        <w:t>机</w:t>
      </w:r>
      <w:r>
        <w:rPr>
          <w:rStyle w:val="30"/>
          <w:rFonts w:hint="eastAsia" w:ascii="黑体" w:hAnsi="黑体" w:eastAsia="黑体"/>
          <w:b w:val="0"/>
          <w:bCs w:val="0"/>
          <w:sz w:val="33"/>
          <w:szCs w:val="33"/>
        </w:rPr>
        <w:t>构设置</w:t>
      </w:r>
      <w:bookmarkEnd w:id="16"/>
      <w:bookmarkEnd w:id="17"/>
      <w:bookmarkEnd w:id="18"/>
    </w:p>
    <w:p>
      <w:pPr>
        <w:spacing w:line="576" w:lineRule="exact"/>
        <w:ind w:firstLine="660" w:firstLineChars="200"/>
        <w:rPr>
          <w:rFonts w:hint="eastAsia" w:ascii="仿宋" w:hAnsi="仿宋" w:eastAsia="仿宋"/>
          <w:sz w:val="33"/>
          <w:szCs w:val="33"/>
        </w:rPr>
      </w:pPr>
      <w:r>
        <w:rPr>
          <w:rFonts w:eastAsia="方正仿宋_GBK"/>
          <w:sz w:val="33"/>
          <w:szCs w:val="33"/>
        </w:rPr>
        <w:t>中共攀枝花市</w:t>
      </w:r>
      <w:r>
        <w:rPr>
          <w:rFonts w:hint="eastAsia" w:eastAsia="方正仿宋_GBK"/>
          <w:sz w:val="33"/>
          <w:szCs w:val="33"/>
        </w:rPr>
        <w:t>纪律检查委员会</w:t>
      </w:r>
      <w:r>
        <w:rPr>
          <w:rFonts w:eastAsia="方正仿宋_GBK"/>
          <w:sz w:val="33"/>
          <w:szCs w:val="33"/>
        </w:rPr>
        <w:t xml:space="preserve"> 攀枝花市监察委员会（以下简称攀枝花市纪委监委）下属二级预算单位2个，其中行政单位1个，参照公务员法管理的事业单位</w:t>
      </w:r>
      <w:r>
        <w:rPr>
          <w:rFonts w:eastAsia="方正仿宋_GBK"/>
          <w:bCs/>
          <w:sz w:val="33"/>
          <w:szCs w:val="33"/>
        </w:rPr>
        <w:t>0</w:t>
      </w:r>
      <w:r>
        <w:rPr>
          <w:rFonts w:eastAsia="方正仿宋_GBK"/>
          <w:sz w:val="33"/>
          <w:szCs w:val="33"/>
        </w:rPr>
        <w:t>个，其他事业单位1个。</w:t>
      </w:r>
    </w:p>
    <w:p>
      <w:pPr>
        <w:pStyle w:val="7"/>
        <w:adjustRightInd w:val="0"/>
        <w:snapToGrid w:val="0"/>
        <w:spacing w:before="93" w:line="576" w:lineRule="exact"/>
        <w:ind w:firstLine="693" w:firstLineChars="210"/>
        <w:rPr>
          <w:rFonts w:ascii="Times New Roman" w:eastAsia="方正仿宋_GBK"/>
          <w:sz w:val="33"/>
          <w:szCs w:val="33"/>
        </w:rPr>
      </w:pPr>
      <w:bookmarkStart w:id="19" w:name="_Toc15377201"/>
      <w:bookmarkStart w:id="20" w:name="_Toc15306275"/>
      <w:bookmarkStart w:id="21" w:name="_Toc15378448"/>
      <w:bookmarkStart w:id="22" w:name="_Toc15377432"/>
      <w:r>
        <w:rPr>
          <w:rFonts w:ascii="Times New Roman" w:eastAsia="方正仿宋_GBK"/>
          <w:sz w:val="33"/>
          <w:szCs w:val="33"/>
        </w:rPr>
        <w:t>纳入攀枝花市纪委监委202</w:t>
      </w:r>
      <w:r>
        <w:rPr>
          <w:rFonts w:hint="eastAsia" w:ascii="Times New Roman" w:eastAsia="方正仿宋_GBK"/>
          <w:sz w:val="33"/>
          <w:szCs w:val="33"/>
        </w:rPr>
        <w:t>3</w:t>
      </w:r>
      <w:r>
        <w:rPr>
          <w:rFonts w:ascii="Times New Roman" w:eastAsia="方正仿宋_GBK"/>
          <w:sz w:val="33"/>
          <w:szCs w:val="33"/>
        </w:rPr>
        <w:t>年度部门决算编制范围的二级预算单位包括：</w:t>
      </w:r>
    </w:p>
    <w:bookmarkEnd w:id="19"/>
    <w:bookmarkEnd w:id="20"/>
    <w:bookmarkEnd w:id="21"/>
    <w:bookmarkEnd w:id="22"/>
    <w:p>
      <w:pPr>
        <w:adjustRightInd w:val="0"/>
        <w:snapToGrid w:val="0"/>
        <w:spacing w:line="576" w:lineRule="exact"/>
        <w:ind w:firstLine="660" w:firstLineChars="200"/>
        <w:rPr>
          <w:rFonts w:eastAsia="方正仿宋_GBK"/>
          <w:snapToGrid w:val="0"/>
          <w:kern w:val="0"/>
          <w:sz w:val="33"/>
          <w:szCs w:val="33"/>
        </w:rPr>
      </w:pPr>
      <w:bookmarkStart w:id="23" w:name="_Toc15377433"/>
      <w:bookmarkStart w:id="24" w:name="_Toc30089"/>
      <w:bookmarkStart w:id="25" w:name="_Toc15378449"/>
      <w:bookmarkStart w:id="26" w:name="_Toc15377202"/>
      <w:bookmarkStart w:id="27" w:name="_Toc15306276"/>
      <w:bookmarkStart w:id="28" w:name="_Toc15377434"/>
      <w:bookmarkStart w:id="29" w:name="_Toc15377203"/>
      <w:bookmarkStart w:id="30" w:name="_Toc15306277"/>
      <w:bookmarkStart w:id="31" w:name="_Toc15378450"/>
      <w:r>
        <w:rPr>
          <w:rFonts w:eastAsia="方正仿宋_GBK"/>
          <w:snapToGrid w:val="0"/>
          <w:kern w:val="0"/>
          <w:sz w:val="33"/>
          <w:szCs w:val="33"/>
        </w:rPr>
        <w:t>1.中共攀枝花市纪律检查委员会、</w:t>
      </w:r>
      <w:r>
        <w:rPr>
          <w:rFonts w:hint="eastAsia" w:eastAsia="方正仿宋_GBK"/>
          <w:snapToGrid w:val="0"/>
          <w:kern w:val="0"/>
          <w:sz w:val="33"/>
          <w:szCs w:val="33"/>
        </w:rPr>
        <w:t>攀枝花市</w:t>
      </w:r>
      <w:r>
        <w:rPr>
          <w:rFonts w:eastAsia="方正仿宋_GBK"/>
          <w:snapToGrid w:val="0"/>
          <w:kern w:val="0"/>
          <w:sz w:val="33"/>
          <w:szCs w:val="33"/>
        </w:rPr>
        <w:t>监察委员会机关</w:t>
      </w:r>
    </w:p>
    <w:p>
      <w:pPr>
        <w:adjustRightInd w:val="0"/>
        <w:snapToGrid w:val="0"/>
        <w:spacing w:line="576" w:lineRule="exact"/>
        <w:ind w:left="640"/>
        <w:rPr>
          <w:rFonts w:eastAsia="方正仿宋_GBK"/>
          <w:snapToGrid w:val="0"/>
          <w:kern w:val="0"/>
          <w:sz w:val="33"/>
          <w:szCs w:val="33"/>
        </w:rPr>
      </w:pPr>
      <w:r>
        <w:rPr>
          <w:rFonts w:eastAsia="方正仿宋_GBK"/>
          <w:sz w:val="33"/>
          <w:szCs w:val="33"/>
        </w:rPr>
        <w:t>2.攀枝花市纪检监察教育培训与信息中心</w:t>
      </w:r>
      <w:bookmarkEnd w:id="23"/>
      <w:bookmarkEnd w:id="24"/>
      <w:bookmarkEnd w:id="25"/>
      <w:bookmarkEnd w:id="26"/>
      <w:bookmarkEnd w:id="27"/>
    </w:p>
    <w:bookmarkEnd w:id="28"/>
    <w:bookmarkEnd w:id="29"/>
    <w:bookmarkEnd w:id="30"/>
    <w:bookmarkEnd w:id="31"/>
    <w:p>
      <w:pPr>
        <w:widowControl/>
        <w:jc w:val="left"/>
        <w:rPr>
          <w:rFonts w:hint="eastAsia" w:ascii="仿宋" w:hAnsi="仿宋" w:eastAsia="仿宋"/>
          <w:kern w:val="0"/>
          <w:sz w:val="32"/>
          <w:szCs w:val="32"/>
        </w:rPr>
      </w:pPr>
      <w:r>
        <w:rPr>
          <w:rFonts w:ascii="仿宋" w:hAnsi="仿宋" w:eastAsia="仿宋"/>
          <w:sz w:val="32"/>
          <w:szCs w:val="32"/>
        </w:rPr>
        <w:br w:type="page"/>
      </w:r>
    </w:p>
    <w:p>
      <w:pPr>
        <w:pStyle w:val="4"/>
        <w:ind w:right="440"/>
        <w:jc w:val="center"/>
      </w:pPr>
      <w:bookmarkStart w:id="32" w:name="_Toc18846"/>
      <w:bookmarkStart w:id="33" w:name="_Toc15377204"/>
      <w:bookmarkStart w:id="34" w:name="_Toc15396602"/>
      <w:r>
        <w:rPr>
          <w:rFonts w:hint="eastAsia" w:ascii="黑体" w:hAnsi="黑体" w:eastAsia="黑体"/>
          <w:b w:val="0"/>
        </w:rPr>
        <w:t xml:space="preserve">第二部分 </w:t>
      </w:r>
      <w:r>
        <w:rPr>
          <w:rFonts w:hint="default" w:ascii="Times New Roman" w:hAnsi="Times New Roman" w:eastAsia="黑体" w:cs="Times New Roman"/>
          <w:b w:val="0"/>
        </w:rPr>
        <w:t>2023</w:t>
      </w:r>
      <w:r>
        <w:rPr>
          <w:rFonts w:hint="eastAsia" w:ascii="黑体" w:hAnsi="黑体" w:eastAsia="黑体"/>
          <w:b w:val="0"/>
        </w:rPr>
        <w:t>年度</w:t>
      </w:r>
      <w:r>
        <w:rPr>
          <w:rStyle w:val="29"/>
          <w:rFonts w:hint="eastAsia" w:ascii="黑体" w:hAnsi="黑体" w:eastAsia="黑体"/>
          <w:b w:val="0"/>
          <w:bCs/>
        </w:rPr>
        <w:t>部门决算情况说明</w:t>
      </w:r>
      <w:bookmarkEnd w:id="32"/>
      <w:bookmarkEnd w:id="33"/>
      <w:bookmarkEnd w:id="34"/>
    </w:p>
    <w:p>
      <w:pPr>
        <w:pStyle w:val="28"/>
        <w:numPr>
          <w:ilvl w:val="0"/>
          <w:numId w:val="1"/>
        </w:numPr>
        <w:spacing w:line="600" w:lineRule="exact"/>
        <w:ind w:firstLineChars="0"/>
        <w:outlineLvl w:val="1"/>
        <w:rPr>
          <w:rStyle w:val="30"/>
          <w:rFonts w:hint="eastAsia" w:ascii="黑体" w:hAnsi="黑体" w:eastAsia="黑体"/>
          <w:b w:val="0"/>
          <w:sz w:val="33"/>
          <w:szCs w:val="33"/>
        </w:rPr>
      </w:pPr>
      <w:bookmarkStart w:id="35" w:name="_Toc21079"/>
      <w:bookmarkStart w:id="36" w:name="_Toc15377205"/>
      <w:bookmarkStart w:id="37" w:name="_Toc15396603"/>
      <w:r>
        <w:rPr>
          <w:rFonts w:hint="eastAsia" w:ascii="黑体" w:hAnsi="黑体" w:eastAsia="黑体"/>
          <w:sz w:val="33"/>
          <w:szCs w:val="33"/>
        </w:rPr>
        <w:t>收</w:t>
      </w:r>
      <w:r>
        <w:rPr>
          <w:rStyle w:val="30"/>
          <w:rFonts w:hint="eastAsia" w:ascii="黑体" w:hAnsi="黑体" w:eastAsia="黑体"/>
          <w:b w:val="0"/>
          <w:sz w:val="33"/>
          <w:szCs w:val="33"/>
        </w:rPr>
        <w:t>入支出决算总体情况说明</w:t>
      </w:r>
      <w:bookmarkEnd w:id="35"/>
      <w:bookmarkEnd w:id="36"/>
      <w:bookmarkEnd w:id="37"/>
    </w:p>
    <w:p>
      <w:pPr>
        <w:spacing w:line="600" w:lineRule="exact"/>
        <w:ind w:firstLine="660" w:firstLineChars="200"/>
        <w:jc w:val="left"/>
        <w:rPr>
          <w:rFonts w:eastAsia="方正仿宋_GBK"/>
          <w:sz w:val="33"/>
          <w:szCs w:val="33"/>
        </w:rPr>
      </w:pPr>
      <w:r>
        <w:rPr>
          <w:rFonts w:eastAsia="方正仿宋_GBK"/>
          <w:sz w:val="33"/>
          <w:szCs w:val="33"/>
        </w:rPr>
        <w:t>2023年度收、支总计均为3692.99万元。与2022年度相比，收、支总计各增加124.81万元，增长3.5%。主要变动原因是</w:t>
      </w:r>
      <w:r>
        <w:rPr>
          <w:rFonts w:eastAsia="方正仿宋_GBK"/>
          <w:color w:val="000000"/>
          <w:kern w:val="0"/>
          <w:sz w:val="33"/>
          <w:szCs w:val="33"/>
        </w:rPr>
        <w:t>人员及项目经费</w:t>
      </w:r>
      <w:r>
        <w:rPr>
          <w:rFonts w:hint="eastAsia" w:eastAsia="方正仿宋_GBK"/>
          <w:color w:val="000000"/>
          <w:kern w:val="0"/>
          <w:sz w:val="33"/>
          <w:szCs w:val="33"/>
        </w:rPr>
        <w:t>支出</w:t>
      </w:r>
      <w:r>
        <w:rPr>
          <w:rFonts w:eastAsia="方正仿宋_GBK"/>
          <w:color w:val="000000"/>
          <w:kern w:val="0"/>
          <w:sz w:val="33"/>
          <w:szCs w:val="33"/>
        </w:rPr>
        <w:t>增加</w:t>
      </w:r>
      <w:r>
        <w:rPr>
          <w:rFonts w:eastAsia="方正仿宋_GBK"/>
          <w:sz w:val="33"/>
          <w:szCs w:val="33"/>
        </w:rPr>
        <w:t>。</w:t>
      </w:r>
    </w:p>
    <w:p>
      <w:pPr>
        <w:spacing w:line="600" w:lineRule="exact"/>
        <w:ind w:firstLine="660" w:firstLineChars="200"/>
        <w:rPr>
          <w:rFonts w:eastAsia="方正仿宋_GBK"/>
          <w:sz w:val="33"/>
          <w:szCs w:val="33"/>
        </w:rPr>
      </w:pPr>
      <w:r>
        <w:rPr>
          <w:rFonts w:eastAsia="方正仿宋_GBK"/>
          <w:sz w:val="33"/>
          <w:szCs w:val="33"/>
        </w:rPr>
        <w:t>（图1：收、支决算总计变动情况图）（柱状图）</w:t>
      </w:r>
    </w:p>
    <w:p>
      <w:pPr>
        <w:ind w:firstLine="660" w:firstLineChars="200"/>
        <w:rPr>
          <w:sz w:val="33"/>
          <w:szCs w:val="33"/>
        </w:rPr>
      </w:pPr>
      <w:r>
        <w:rPr>
          <w:rFonts w:hint="eastAsia" w:ascii="方正仿宋_GB2312" w:eastAsia="方正仿宋_GB2312"/>
          <w:sz w:val="33"/>
          <w:szCs w:val="33"/>
        </w:rPr>
        <w:drawing>
          <wp:inline distT="0" distB="0" distL="114300" distR="114300">
            <wp:extent cx="4218305" cy="2252980"/>
            <wp:effectExtent l="4445" t="4445" r="6350" b="15875"/>
            <wp:docPr id="2" name="图表 2" descr="7b0a202020202263686172745265734964223a2022343636313237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8"/>
        <w:numPr>
          <w:ilvl w:val="0"/>
          <w:numId w:val="1"/>
        </w:numPr>
        <w:spacing w:line="600" w:lineRule="exact"/>
        <w:ind w:firstLineChars="0"/>
        <w:outlineLvl w:val="1"/>
        <w:rPr>
          <w:rStyle w:val="30"/>
          <w:rFonts w:hint="eastAsia" w:ascii="黑体" w:hAnsi="黑体" w:eastAsia="黑体"/>
          <w:b w:val="0"/>
          <w:sz w:val="33"/>
          <w:szCs w:val="33"/>
        </w:rPr>
      </w:pPr>
      <w:bookmarkStart w:id="38" w:name="_Toc15396604"/>
      <w:bookmarkStart w:id="39" w:name="_Toc5667"/>
      <w:bookmarkStart w:id="40" w:name="_Toc15377206"/>
      <w:r>
        <w:rPr>
          <w:rFonts w:hint="eastAsia" w:ascii="黑体" w:hAnsi="黑体" w:eastAsia="黑体"/>
          <w:sz w:val="33"/>
          <w:szCs w:val="33"/>
        </w:rPr>
        <w:t>收</w:t>
      </w:r>
      <w:r>
        <w:rPr>
          <w:rStyle w:val="30"/>
          <w:rFonts w:hint="eastAsia" w:ascii="黑体" w:hAnsi="黑体" w:eastAsia="黑体"/>
          <w:b w:val="0"/>
          <w:sz w:val="33"/>
          <w:szCs w:val="33"/>
        </w:rPr>
        <w:t>入决算情况说明</w:t>
      </w:r>
      <w:bookmarkEnd w:id="38"/>
      <w:bookmarkEnd w:id="39"/>
      <w:bookmarkEnd w:id="40"/>
    </w:p>
    <w:p>
      <w:pPr>
        <w:spacing w:line="600" w:lineRule="exact"/>
        <w:ind w:firstLine="660" w:firstLineChars="200"/>
        <w:jc w:val="left"/>
        <w:outlineLvl w:val="9"/>
        <w:rPr>
          <w:rFonts w:eastAsia="方正仿宋_GBK"/>
          <w:sz w:val="33"/>
          <w:szCs w:val="33"/>
        </w:rPr>
      </w:pPr>
      <w:r>
        <w:rPr>
          <w:rFonts w:eastAsia="方正仿宋_GBK"/>
          <w:sz w:val="33"/>
          <w:szCs w:val="33"/>
        </w:rPr>
        <w:t>2023年度本年收入合计3692.99万元，其中：一般公共预算财政拨款收入3692.99万元，占100%；政府性基金预算财政拨款收入0万元，占0%；国有资本经营预算财政拨款收入0万元，占0%；上级补助收入0万元，占0%；事业收入0万元，占0%；经营收入0万元，占0%；附属单位上缴收入0万元，占0%；其他收入0万元，占0%。</w:t>
      </w:r>
    </w:p>
    <w:p>
      <w:pPr>
        <w:spacing w:line="600" w:lineRule="exact"/>
        <w:ind w:firstLine="660" w:firstLineChars="200"/>
        <w:rPr>
          <w:rFonts w:eastAsia="方正仿宋_GBK"/>
          <w:sz w:val="33"/>
          <w:szCs w:val="33"/>
        </w:rPr>
      </w:pPr>
      <w:r>
        <w:rPr>
          <w:rFonts w:eastAsia="方正仿宋_GBK"/>
          <w:sz w:val="33"/>
          <w:szCs w:val="33"/>
        </w:rPr>
        <w:t>（图2：收入决算结构图）（饼状图）</w:t>
      </w:r>
    </w:p>
    <w:p>
      <w:pPr>
        <w:ind w:firstLine="660" w:firstLineChars="200"/>
        <w:rPr>
          <w:rFonts w:ascii="方正仿宋_GB2312" w:eastAsia="方正仿宋_GB2312"/>
          <w:sz w:val="33"/>
          <w:szCs w:val="33"/>
        </w:rPr>
      </w:pPr>
      <w:r>
        <w:rPr>
          <w:rFonts w:hint="eastAsia" w:ascii="方正仿宋_GB2312" w:eastAsia="方正仿宋_GB2312"/>
          <w:sz w:val="33"/>
          <w:szCs w:val="33"/>
        </w:rPr>
        <w:drawing>
          <wp:inline distT="0" distB="0" distL="114300" distR="114300">
            <wp:extent cx="4342130" cy="2305685"/>
            <wp:effectExtent l="0" t="0" r="1270" b="31115"/>
            <wp:docPr id="4" name="图表 4" descr="7b0a202020202263686172745265734964223a2022323034373131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8"/>
        <w:numPr>
          <w:ilvl w:val="0"/>
          <w:numId w:val="1"/>
        </w:numPr>
        <w:spacing w:line="600" w:lineRule="exact"/>
        <w:ind w:firstLineChars="0"/>
        <w:outlineLvl w:val="1"/>
        <w:rPr>
          <w:rStyle w:val="30"/>
          <w:rFonts w:hint="eastAsia" w:ascii="黑体" w:hAnsi="黑体" w:eastAsia="黑体"/>
          <w:b w:val="0"/>
          <w:sz w:val="33"/>
          <w:szCs w:val="33"/>
        </w:rPr>
      </w:pPr>
      <w:bookmarkStart w:id="41" w:name="_Toc15396605"/>
      <w:bookmarkStart w:id="42" w:name="_Toc15377207"/>
      <w:bookmarkStart w:id="43" w:name="_Toc27720"/>
      <w:r>
        <w:rPr>
          <w:rFonts w:hint="eastAsia" w:ascii="黑体" w:hAnsi="黑体" w:eastAsia="黑体"/>
          <w:sz w:val="33"/>
          <w:szCs w:val="33"/>
        </w:rPr>
        <w:t>支</w:t>
      </w:r>
      <w:r>
        <w:rPr>
          <w:rStyle w:val="30"/>
          <w:rFonts w:hint="eastAsia" w:ascii="黑体" w:hAnsi="黑体" w:eastAsia="黑体"/>
          <w:b w:val="0"/>
          <w:sz w:val="33"/>
          <w:szCs w:val="33"/>
        </w:rPr>
        <w:t>出决算情况说明</w:t>
      </w:r>
      <w:bookmarkEnd w:id="41"/>
      <w:bookmarkEnd w:id="42"/>
      <w:bookmarkEnd w:id="43"/>
    </w:p>
    <w:p>
      <w:pPr>
        <w:spacing w:line="600" w:lineRule="exact"/>
        <w:ind w:firstLine="660" w:firstLineChars="200"/>
        <w:outlineLvl w:val="9"/>
        <w:rPr>
          <w:rFonts w:eastAsia="方正仿宋_GBK"/>
          <w:sz w:val="33"/>
          <w:szCs w:val="33"/>
        </w:rPr>
      </w:pPr>
      <w:r>
        <w:rPr>
          <w:rFonts w:eastAsia="方正仿宋_GBK"/>
          <w:sz w:val="33"/>
          <w:szCs w:val="33"/>
        </w:rPr>
        <w:t>2023年度本年支出合计3692.99万元，其中：基本支出2612.79万元，占70.75%；项目支出1080.19万元，占29.24%；上缴上级支出0万元，占0%；经营支出0万元，占0%；对附属单位补助支出0万元，占0%。</w:t>
      </w:r>
    </w:p>
    <w:p>
      <w:pPr>
        <w:spacing w:line="600" w:lineRule="exact"/>
        <w:ind w:firstLine="660" w:firstLineChars="200"/>
        <w:rPr>
          <w:rFonts w:eastAsia="方正仿宋_GBK"/>
          <w:sz w:val="33"/>
          <w:szCs w:val="33"/>
        </w:rPr>
      </w:pPr>
      <w:r>
        <w:rPr>
          <w:rFonts w:eastAsia="方正仿宋_GBK"/>
          <w:sz w:val="33"/>
          <w:szCs w:val="33"/>
        </w:rPr>
        <w:t>（图3：支出决算结构图）（饼状图）</w:t>
      </w:r>
    </w:p>
    <w:p>
      <w:pPr>
        <w:ind w:firstLine="660" w:firstLineChars="200"/>
        <w:rPr>
          <w:rFonts w:ascii="方正仿宋_GB2312" w:eastAsia="方正仿宋_GB2312"/>
          <w:sz w:val="33"/>
          <w:szCs w:val="33"/>
        </w:rPr>
      </w:pPr>
      <w:r>
        <w:rPr>
          <w:rFonts w:hint="eastAsia" w:ascii="方正仿宋_GB2312" w:eastAsia="方正仿宋_GB2312"/>
          <w:sz w:val="33"/>
          <w:szCs w:val="33"/>
        </w:rPr>
        <w:drawing>
          <wp:inline distT="0" distB="0" distL="114300" distR="114300">
            <wp:extent cx="4342130" cy="2305685"/>
            <wp:effectExtent l="0" t="0" r="1270" b="31115"/>
            <wp:docPr id="5" name="图表 5" descr="7b0a202020202263686172745265734964223a2022323034373131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60" w:firstLineChars="200"/>
        <w:outlineLvl w:val="1"/>
        <w:rPr>
          <w:rStyle w:val="30"/>
          <w:rFonts w:hint="eastAsia" w:ascii="黑体" w:hAnsi="黑体" w:eastAsia="黑体"/>
          <w:b w:val="0"/>
          <w:sz w:val="33"/>
          <w:szCs w:val="33"/>
        </w:rPr>
      </w:pPr>
      <w:bookmarkStart w:id="44" w:name="_Toc15377208"/>
      <w:bookmarkStart w:id="45" w:name="_Toc15396606"/>
      <w:bookmarkStart w:id="46" w:name="_Toc4849"/>
      <w:r>
        <w:rPr>
          <w:rFonts w:hint="eastAsia" w:ascii="黑体" w:hAnsi="黑体" w:eastAsia="黑体"/>
          <w:sz w:val="33"/>
          <w:szCs w:val="33"/>
        </w:rPr>
        <w:t>四、财</w:t>
      </w:r>
      <w:r>
        <w:rPr>
          <w:rStyle w:val="30"/>
          <w:rFonts w:hint="eastAsia" w:ascii="黑体" w:hAnsi="黑体" w:eastAsia="黑体"/>
          <w:b w:val="0"/>
          <w:sz w:val="33"/>
          <w:szCs w:val="33"/>
        </w:rPr>
        <w:t>政拨款收入支出决算总体情况说明</w:t>
      </w:r>
      <w:bookmarkEnd w:id="44"/>
      <w:bookmarkEnd w:id="45"/>
      <w:bookmarkEnd w:id="46"/>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3"/>
          <w:szCs w:val="33"/>
        </w:rPr>
        <w:t>2023年度财政拨款收、支总计均为3692.99万元。与2022年度相比，财政拨款收、支总计各增加124.81万元，增长3.5%。主要变动原因是</w:t>
      </w:r>
      <w:r>
        <w:rPr>
          <w:rFonts w:hint="default" w:ascii="Times New Roman" w:hAnsi="Times New Roman" w:eastAsia="方正仿宋_GBK" w:cs="Times New Roman"/>
          <w:color w:val="000000"/>
          <w:kern w:val="0"/>
          <w:sz w:val="33"/>
          <w:szCs w:val="33"/>
        </w:rPr>
        <w:t>人员及项目经费支出增加。</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（图4：财政拨款收、支决算总计变动情况）（柱状图）</w:t>
      </w:r>
    </w:p>
    <w:p>
      <w:pPr>
        <w:ind w:firstLine="641"/>
        <w:rPr>
          <w:rFonts w:hint="eastAsia" w:ascii="仿宋" w:hAnsi="仿宋" w:eastAsia="仿宋"/>
          <w:b/>
          <w:sz w:val="33"/>
          <w:szCs w:val="33"/>
        </w:rPr>
      </w:pPr>
      <w:r>
        <w:rPr>
          <w:rFonts w:hint="eastAsia" w:ascii="方正仿宋_GB2312" w:eastAsia="方正仿宋_GB2312"/>
          <w:sz w:val="33"/>
          <w:szCs w:val="33"/>
        </w:rPr>
        <w:drawing>
          <wp:inline distT="0" distB="0" distL="114300" distR="114300">
            <wp:extent cx="4060190" cy="2086610"/>
            <wp:effectExtent l="5080" t="4445" r="11430" b="23495"/>
            <wp:docPr id="6" name="图表 6" descr="7b0a202020202263686172745265734964223a2022343636313237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60" w:firstLineChars="200"/>
        <w:outlineLvl w:val="1"/>
        <w:rPr>
          <w:rStyle w:val="30"/>
          <w:rFonts w:hint="eastAsia" w:ascii="黑体" w:hAnsi="黑体" w:eastAsia="黑体"/>
          <w:b w:val="0"/>
          <w:sz w:val="33"/>
          <w:szCs w:val="33"/>
        </w:rPr>
      </w:pPr>
      <w:bookmarkStart w:id="47" w:name="_Toc15396607"/>
      <w:bookmarkStart w:id="48" w:name="_Toc15001"/>
      <w:bookmarkStart w:id="49" w:name="_Toc15377209"/>
      <w:r>
        <w:rPr>
          <w:rFonts w:hint="eastAsia" w:ascii="黑体" w:hAnsi="黑体" w:eastAsia="黑体"/>
          <w:sz w:val="33"/>
          <w:szCs w:val="33"/>
        </w:rPr>
        <w:t>五、</w:t>
      </w:r>
      <w:r>
        <w:rPr>
          <w:rFonts w:hint="eastAsia" w:ascii="黑体" w:hAnsi="黑体" w:eastAsia="黑体"/>
          <w:b/>
          <w:sz w:val="33"/>
          <w:szCs w:val="33"/>
        </w:rPr>
        <w:t>一</w:t>
      </w:r>
      <w:r>
        <w:rPr>
          <w:rStyle w:val="30"/>
          <w:rFonts w:hint="eastAsia" w:ascii="黑体" w:hAnsi="黑体" w:eastAsia="黑体"/>
          <w:b w:val="0"/>
          <w:sz w:val="33"/>
          <w:szCs w:val="33"/>
        </w:rPr>
        <w:t>般公共预算财政拨款支出决算情况说明</w:t>
      </w:r>
      <w:bookmarkEnd w:id="47"/>
      <w:bookmarkEnd w:id="48"/>
      <w:bookmarkEnd w:id="49"/>
    </w:p>
    <w:p>
      <w:pPr>
        <w:spacing w:line="600" w:lineRule="exact"/>
        <w:ind w:firstLine="663" w:firstLineChars="200"/>
        <w:outlineLvl w:val="9"/>
        <w:rPr>
          <w:rFonts w:hint="eastAsia" w:ascii="方正楷体_GBK" w:hAnsi="方正楷体_GBK" w:eastAsia="方正楷体_GBK" w:cs="方正楷体_GBK"/>
          <w:b/>
          <w:sz w:val="33"/>
          <w:szCs w:val="33"/>
        </w:rPr>
      </w:pPr>
      <w:bookmarkStart w:id="50" w:name="_Toc15377210"/>
      <w:r>
        <w:rPr>
          <w:rFonts w:hint="eastAsia" w:ascii="方正楷体_GBK" w:hAnsi="方正楷体_GBK" w:eastAsia="方正楷体_GBK" w:cs="方正楷体_GBK"/>
          <w:b/>
          <w:sz w:val="33"/>
          <w:szCs w:val="33"/>
        </w:rPr>
        <w:t>（一）一般公共预算财政拨款支出决算总体情况</w:t>
      </w:r>
      <w:bookmarkEnd w:id="50"/>
    </w:p>
    <w:p>
      <w:pPr>
        <w:spacing w:line="600" w:lineRule="exact"/>
        <w:ind w:firstLine="660" w:firstLineChars="200"/>
        <w:rPr>
          <w:rFonts w:eastAsia="方正仿宋_GBK"/>
          <w:sz w:val="33"/>
          <w:szCs w:val="33"/>
        </w:rPr>
      </w:pPr>
      <w:r>
        <w:rPr>
          <w:rFonts w:eastAsia="方正仿宋_GBK"/>
          <w:sz w:val="33"/>
          <w:szCs w:val="33"/>
        </w:rPr>
        <w:t>2023年度一般公共预算财政拨款支出3692.99万元，占本年支出合计的100%。与2022年度相比，一般公共预算财政拨款支出增加124.81万元，增长3.5%。主要变动原因是</w:t>
      </w:r>
      <w:r>
        <w:rPr>
          <w:rFonts w:eastAsia="方正仿宋_GBK"/>
          <w:color w:val="000000"/>
          <w:kern w:val="0"/>
          <w:sz w:val="33"/>
          <w:szCs w:val="33"/>
        </w:rPr>
        <w:t>人员及项目经费支出增加。</w:t>
      </w:r>
    </w:p>
    <w:p>
      <w:pPr>
        <w:spacing w:line="600" w:lineRule="exact"/>
        <w:ind w:firstLine="660" w:firstLineChars="200"/>
        <w:rPr>
          <w:rFonts w:eastAsia="方正仿宋_GBK"/>
          <w:sz w:val="33"/>
          <w:szCs w:val="33"/>
        </w:rPr>
      </w:pPr>
      <w:r>
        <w:rPr>
          <w:rFonts w:eastAsia="方正仿宋_GBK"/>
          <w:sz w:val="33"/>
          <w:szCs w:val="33"/>
        </w:rPr>
        <w:t>（图5：一般公共预算财政拨款支出决算变动情况）（柱状图）</w:t>
      </w:r>
    </w:p>
    <w:p>
      <w:pPr>
        <w:ind w:firstLine="660" w:firstLineChars="200"/>
        <w:rPr>
          <w:rFonts w:hint="eastAsia" w:ascii="仿宋" w:hAnsi="仿宋" w:eastAsia="仿宋"/>
          <w:sz w:val="33"/>
          <w:szCs w:val="33"/>
        </w:rPr>
      </w:pPr>
      <w:r>
        <w:rPr>
          <w:rFonts w:hint="eastAsia" w:ascii="方正仿宋_GB2312" w:eastAsia="方正仿宋_GB2312"/>
          <w:sz w:val="33"/>
          <w:szCs w:val="33"/>
        </w:rPr>
        <w:drawing>
          <wp:inline distT="0" distB="0" distL="114300" distR="114300">
            <wp:extent cx="4131310" cy="2173605"/>
            <wp:effectExtent l="4445" t="4445" r="17145" b="12700"/>
            <wp:docPr id="7" name="图表 7" descr="7b0a202020202263686172745265734964223a2022343636313237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63" w:firstLineChars="200"/>
        <w:outlineLvl w:val="9"/>
        <w:rPr>
          <w:rFonts w:hint="eastAsia" w:ascii="方正楷体_GBK" w:hAnsi="方正楷体_GBK" w:eastAsia="方正楷体_GBK" w:cs="方正楷体_GBK"/>
          <w:b/>
          <w:sz w:val="33"/>
          <w:szCs w:val="33"/>
        </w:rPr>
      </w:pPr>
      <w:bookmarkStart w:id="51" w:name="_Toc15377211"/>
      <w:r>
        <w:rPr>
          <w:rFonts w:hint="eastAsia" w:ascii="方正楷体_GBK" w:hAnsi="方正楷体_GBK" w:eastAsia="方正楷体_GBK" w:cs="方正楷体_GBK"/>
          <w:b/>
          <w:sz w:val="33"/>
          <w:szCs w:val="33"/>
        </w:rPr>
        <w:t>（二）一般公共预算财政拨款支出决算结构情况</w:t>
      </w:r>
      <w:bookmarkEnd w:id="51"/>
    </w:p>
    <w:p>
      <w:pPr>
        <w:spacing w:line="600" w:lineRule="exact"/>
        <w:ind w:firstLine="640"/>
        <w:rPr>
          <w:rFonts w:hint="eastAsia" w:ascii="仿宋" w:hAnsi="仿宋" w:eastAsia="仿宋"/>
          <w:sz w:val="33"/>
          <w:szCs w:val="33"/>
        </w:rPr>
      </w:pPr>
      <w:r>
        <w:rPr>
          <w:rFonts w:eastAsia="方正仿宋_GBK"/>
          <w:sz w:val="33"/>
          <w:szCs w:val="33"/>
        </w:rPr>
        <w:t>2023年度一般公共预算财政拨款支出3692.99万元，主要用于以下方面:</w:t>
      </w:r>
      <w:r>
        <w:rPr>
          <w:rFonts w:eastAsia="方正仿宋_GBK"/>
          <w:b/>
          <w:bCs/>
          <w:sz w:val="33"/>
          <w:szCs w:val="33"/>
        </w:rPr>
        <w:t>一般公共服务支出</w:t>
      </w:r>
      <w:r>
        <w:rPr>
          <w:rFonts w:hint="eastAsia" w:eastAsia="方正仿宋_GBK"/>
          <w:b/>
          <w:bCs/>
          <w:sz w:val="33"/>
          <w:szCs w:val="33"/>
        </w:rPr>
        <w:t>2841.94</w:t>
      </w:r>
      <w:r>
        <w:rPr>
          <w:rFonts w:eastAsia="方正仿宋_GBK"/>
          <w:b/>
          <w:bCs/>
          <w:sz w:val="33"/>
          <w:szCs w:val="33"/>
        </w:rPr>
        <w:t>万元</w:t>
      </w:r>
      <w:r>
        <w:rPr>
          <w:rFonts w:eastAsia="方正仿宋_GBK"/>
          <w:sz w:val="33"/>
          <w:szCs w:val="33"/>
        </w:rPr>
        <w:t>，占</w:t>
      </w:r>
      <w:r>
        <w:rPr>
          <w:rFonts w:hint="eastAsia" w:eastAsia="方正仿宋_GBK"/>
          <w:sz w:val="33"/>
          <w:szCs w:val="33"/>
        </w:rPr>
        <w:t>76.95</w:t>
      </w:r>
      <w:r>
        <w:rPr>
          <w:rFonts w:eastAsia="方正仿宋_GBK"/>
          <w:sz w:val="33"/>
          <w:szCs w:val="33"/>
        </w:rPr>
        <w:t>%；</w:t>
      </w:r>
      <w:r>
        <w:rPr>
          <w:rFonts w:eastAsia="方正仿宋_GBK"/>
          <w:b/>
          <w:bCs/>
          <w:sz w:val="33"/>
          <w:szCs w:val="33"/>
        </w:rPr>
        <w:t>教育支出</w:t>
      </w:r>
      <w:r>
        <w:rPr>
          <w:rFonts w:hint="eastAsia" w:eastAsia="方正仿宋_GBK"/>
          <w:b/>
          <w:bCs/>
          <w:sz w:val="33"/>
          <w:szCs w:val="33"/>
        </w:rPr>
        <w:t>0</w:t>
      </w:r>
      <w:r>
        <w:rPr>
          <w:rFonts w:eastAsia="方正仿宋_GBK"/>
          <w:b/>
          <w:bCs/>
          <w:sz w:val="33"/>
          <w:szCs w:val="33"/>
        </w:rPr>
        <w:t>万元</w:t>
      </w:r>
      <w:r>
        <w:rPr>
          <w:rFonts w:eastAsia="方正仿宋_GBK"/>
          <w:sz w:val="33"/>
          <w:szCs w:val="33"/>
        </w:rPr>
        <w:t>，占</w:t>
      </w:r>
      <w:r>
        <w:rPr>
          <w:rFonts w:hint="eastAsia" w:eastAsia="方正仿宋_GBK"/>
          <w:sz w:val="33"/>
          <w:szCs w:val="33"/>
        </w:rPr>
        <w:t>0</w:t>
      </w:r>
      <w:r>
        <w:rPr>
          <w:rFonts w:eastAsia="方正仿宋_GBK"/>
          <w:sz w:val="33"/>
          <w:szCs w:val="33"/>
        </w:rPr>
        <w:t>%；</w:t>
      </w:r>
      <w:r>
        <w:rPr>
          <w:rFonts w:eastAsia="方正仿宋_GBK"/>
          <w:b/>
          <w:bCs/>
          <w:sz w:val="33"/>
          <w:szCs w:val="33"/>
        </w:rPr>
        <w:t>科学技术支出</w:t>
      </w:r>
      <w:r>
        <w:rPr>
          <w:rFonts w:hint="eastAsia" w:eastAsia="方正仿宋_GBK"/>
          <w:b/>
          <w:bCs/>
          <w:sz w:val="33"/>
          <w:szCs w:val="33"/>
        </w:rPr>
        <w:t>0</w:t>
      </w:r>
      <w:r>
        <w:rPr>
          <w:rFonts w:eastAsia="方正仿宋_GBK"/>
          <w:b/>
          <w:bCs/>
          <w:sz w:val="33"/>
          <w:szCs w:val="33"/>
        </w:rPr>
        <w:t>万元</w:t>
      </w:r>
      <w:r>
        <w:rPr>
          <w:rFonts w:eastAsia="方正仿宋_GBK"/>
          <w:sz w:val="33"/>
          <w:szCs w:val="33"/>
        </w:rPr>
        <w:t>，占</w:t>
      </w:r>
      <w:r>
        <w:rPr>
          <w:rFonts w:hint="eastAsia" w:eastAsia="方正仿宋_GBK"/>
          <w:sz w:val="33"/>
          <w:szCs w:val="33"/>
        </w:rPr>
        <w:t>0</w:t>
      </w:r>
      <w:r>
        <w:rPr>
          <w:rFonts w:eastAsia="方正仿宋_GBK"/>
          <w:sz w:val="33"/>
          <w:szCs w:val="33"/>
        </w:rPr>
        <w:t>%；</w:t>
      </w:r>
      <w:r>
        <w:rPr>
          <w:rFonts w:eastAsia="方正仿宋_GBK"/>
          <w:b/>
          <w:bCs/>
          <w:sz w:val="33"/>
          <w:szCs w:val="33"/>
        </w:rPr>
        <w:t>文化旅游体育与传媒支出</w:t>
      </w:r>
      <w:r>
        <w:rPr>
          <w:rFonts w:hint="eastAsia" w:eastAsia="方正仿宋_GBK"/>
          <w:b/>
          <w:bCs/>
          <w:sz w:val="33"/>
          <w:szCs w:val="33"/>
        </w:rPr>
        <w:t>0</w:t>
      </w:r>
      <w:r>
        <w:rPr>
          <w:rFonts w:eastAsia="方正仿宋_GBK"/>
          <w:b/>
          <w:bCs/>
          <w:sz w:val="33"/>
          <w:szCs w:val="33"/>
        </w:rPr>
        <w:t>万元</w:t>
      </w:r>
      <w:r>
        <w:rPr>
          <w:rFonts w:eastAsia="方正仿宋_GBK"/>
          <w:sz w:val="33"/>
          <w:szCs w:val="33"/>
        </w:rPr>
        <w:t>，占</w:t>
      </w:r>
      <w:r>
        <w:rPr>
          <w:rFonts w:hint="eastAsia" w:eastAsia="方正仿宋_GBK"/>
          <w:sz w:val="33"/>
          <w:szCs w:val="33"/>
        </w:rPr>
        <w:t>0</w:t>
      </w:r>
      <w:r>
        <w:rPr>
          <w:rFonts w:eastAsia="方正仿宋_GBK"/>
          <w:sz w:val="33"/>
          <w:szCs w:val="33"/>
        </w:rPr>
        <w:t>%；</w:t>
      </w:r>
      <w:r>
        <w:rPr>
          <w:rFonts w:eastAsia="方正仿宋_GBK"/>
          <w:b/>
          <w:bCs/>
          <w:sz w:val="33"/>
          <w:szCs w:val="33"/>
        </w:rPr>
        <w:t>社会保障和就业支出</w:t>
      </w:r>
      <w:r>
        <w:rPr>
          <w:rFonts w:hint="eastAsia" w:eastAsia="方正仿宋_GBK"/>
          <w:b/>
          <w:bCs/>
          <w:sz w:val="33"/>
          <w:szCs w:val="33"/>
        </w:rPr>
        <w:t>517.25</w:t>
      </w:r>
      <w:r>
        <w:rPr>
          <w:rFonts w:eastAsia="方正仿宋_GBK"/>
          <w:b/>
          <w:bCs/>
          <w:sz w:val="33"/>
          <w:szCs w:val="33"/>
        </w:rPr>
        <w:t>万元</w:t>
      </w:r>
      <w:r>
        <w:rPr>
          <w:rFonts w:eastAsia="方正仿宋_GBK"/>
          <w:sz w:val="33"/>
          <w:szCs w:val="33"/>
        </w:rPr>
        <w:t>，占</w:t>
      </w:r>
      <w:r>
        <w:rPr>
          <w:rFonts w:hint="eastAsia" w:eastAsia="方正仿宋_GBK"/>
          <w:sz w:val="33"/>
          <w:szCs w:val="33"/>
        </w:rPr>
        <w:t>14.01</w:t>
      </w:r>
      <w:r>
        <w:rPr>
          <w:rFonts w:eastAsia="方正仿宋_GBK"/>
          <w:sz w:val="33"/>
          <w:szCs w:val="33"/>
        </w:rPr>
        <w:t>%；</w:t>
      </w:r>
      <w:r>
        <w:rPr>
          <w:rFonts w:eastAsia="方正仿宋_GBK"/>
          <w:b/>
          <w:bCs/>
          <w:sz w:val="33"/>
          <w:szCs w:val="33"/>
        </w:rPr>
        <w:t>卫生健康支出</w:t>
      </w:r>
      <w:r>
        <w:rPr>
          <w:rFonts w:hint="eastAsia" w:eastAsia="方正仿宋_GBK"/>
          <w:b/>
          <w:bCs/>
          <w:sz w:val="33"/>
          <w:szCs w:val="33"/>
        </w:rPr>
        <w:t>140.71</w:t>
      </w:r>
      <w:r>
        <w:rPr>
          <w:rFonts w:eastAsia="方正仿宋_GBK"/>
          <w:b/>
          <w:bCs/>
          <w:sz w:val="33"/>
          <w:szCs w:val="33"/>
        </w:rPr>
        <w:t>万元</w:t>
      </w:r>
      <w:r>
        <w:rPr>
          <w:rFonts w:eastAsia="方正仿宋_GBK"/>
          <w:sz w:val="33"/>
          <w:szCs w:val="33"/>
        </w:rPr>
        <w:t>，占</w:t>
      </w:r>
      <w:r>
        <w:rPr>
          <w:rFonts w:hint="eastAsia" w:eastAsia="方正仿宋_GBK"/>
          <w:sz w:val="33"/>
          <w:szCs w:val="33"/>
        </w:rPr>
        <w:t>3.81</w:t>
      </w:r>
      <w:r>
        <w:rPr>
          <w:rFonts w:eastAsia="方正仿宋_GBK"/>
          <w:sz w:val="33"/>
          <w:szCs w:val="33"/>
        </w:rPr>
        <w:t>%；</w:t>
      </w:r>
      <w:r>
        <w:rPr>
          <w:rFonts w:eastAsia="方正仿宋_GBK"/>
          <w:b/>
          <w:bCs/>
          <w:sz w:val="33"/>
          <w:szCs w:val="33"/>
        </w:rPr>
        <w:t>住房保障支出</w:t>
      </w:r>
      <w:r>
        <w:rPr>
          <w:rFonts w:hint="eastAsia" w:eastAsia="方正仿宋_GBK"/>
          <w:b/>
          <w:bCs/>
          <w:sz w:val="33"/>
          <w:szCs w:val="33"/>
        </w:rPr>
        <w:t>171.35</w:t>
      </w:r>
      <w:r>
        <w:rPr>
          <w:rFonts w:eastAsia="方正仿宋_GBK"/>
          <w:b/>
          <w:bCs/>
          <w:sz w:val="33"/>
          <w:szCs w:val="33"/>
        </w:rPr>
        <w:t>万元</w:t>
      </w:r>
      <w:r>
        <w:rPr>
          <w:rFonts w:eastAsia="方正仿宋_GBK"/>
          <w:sz w:val="33"/>
          <w:szCs w:val="33"/>
        </w:rPr>
        <w:t>，占</w:t>
      </w:r>
      <w:r>
        <w:rPr>
          <w:rFonts w:hint="eastAsia" w:eastAsia="方正仿宋_GBK"/>
          <w:sz w:val="33"/>
          <w:szCs w:val="33"/>
        </w:rPr>
        <w:t>4.64</w:t>
      </w:r>
      <w:r>
        <w:rPr>
          <w:rFonts w:eastAsia="方正仿宋_GBK"/>
          <w:sz w:val="33"/>
          <w:szCs w:val="33"/>
        </w:rPr>
        <w:t>%；</w:t>
      </w:r>
      <w:r>
        <w:rPr>
          <w:rFonts w:eastAsia="方正仿宋_GBK"/>
          <w:b/>
          <w:bCs/>
          <w:sz w:val="33"/>
          <w:szCs w:val="33"/>
        </w:rPr>
        <w:t>城乡社区支出19.86万元</w:t>
      </w:r>
      <w:r>
        <w:rPr>
          <w:rFonts w:eastAsia="方正仿宋_GBK"/>
          <w:sz w:val="33"/>
          <w:szCs w:val="33"/>
        </w:rPr>
        <w:t>，占</w:t>
      </w:r>
      <w:r>
        <w:rPr>
          <w:rFonts w:hint="eastAsia" w:eastAsia="方正仿宋_GBK"/>
          <w:sz w:val="33"/>
          <w:szCs w:val="33"/>
        </w:rPr>
        <w:t>0.54</w:t>
      </w:r>
      <w:r>
        <w:rPr>
          <w:rFonts w:eastAsia="方正仿宋_GBK"/>
          <w:sz w:val="33"/>
          <w:szCs w:val="33"/>
        </w:rPr>
        <w:t>%；</w:t>
      </w:r>
      <w:r>
        <w:rPr>
          <w:rFonts w:eastAsia="方正仿宋_GBK"/>
          <w:b/>
          <w:bCs/>
          <w:sz w:val="33"/>
          <w:szCs w:val="33"/>
        </w:rPr>
        <w:t>农林水支出支出1.89万元</w:t>
      </w:r>
      <w:r>
        <w:rPr>
          <w:rFonts w:eastAsia="方正仿宋_GBK"/>
          <w:sz w:val="33"/>
          <w:szCs w:val="33"/>
        </w:rPr>
        <w:t>，占0.0</w:t>
      </w:r>
      <w:r>
        <w:rPr>
          <w:rFonts w:hint="eastAsia" w:eastAsia="方正仿宋_GBK"/>
          <w:sz w:val="33"/>
          <w:szCs w:val="33"/>
        </w:rPr>
        <w:t>5</w:t>
      </w:r>
      <w:r>
        <w:rPr>
          <w:rFonts w:eastAsia="方正仿宋_GBK"/>
          <w:sz w:val="33"/>
          <w:szCs w:val="33"/>
        </w:rPr>
        <w:t>%。</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（图6：一般公共预算财政拨款支出决算结构）（饼状图）</w:t>
      </w:r>
    </w:p>
    <w:p>
      <w:pPr>
        <w:ind w:firstLine="660" w:firstLineChars="200"/>
        <w:rPr>
          <w:rFonts w:hint="eastAsia" w:ascii="仿宋" w:hAnsi="仿宋" w:eastAsia="仿宋"/>
          <w:sz w:val="33"/>
          <w:szCs w:val="33"/>
        </w:rPr>
      </w:pPr>
      <w:r>
        <w:rPr>
          <w:rFonts w:hint="eastAsia" w:ascii="方正仿宋_GB2312" w:eastAsia="方正仿宋_GB2312"/>
          <w:sz w:val="33"/>
          <w:szCs w:val="33"/>
        </w:rPr>
        <w:drawing>
          <wp:inline distT="0" distB="0" distL="114300" distR="114300">
            <wp:extent cx="4244975" cy="2347595"/>
            <wp:effectExtent l="0" t="0" r="3175" b="52705"/>
            <wp:docPr id="8" name="图表 8" descr="7b0a202020202263686172745265734964223a2022323034373131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63" w:firstLineChars="200"/>
        <w:outlineLvl w:val="9"/>
        <w:rPr>
          <w:rFonts w:hint="eastAsia" w:ascii="方正楷体_GBK" w:hAnsi="方正楷体_GBK" w:eastAsia="方正楷体_GBK" w:cs="方正楷体_GBK"/>
          <w:b/>
          <w:sz w:val="33"/>
          <w:szCs w:val="33"/>
        </w:rPr>
      </w:pPr>
      <w:bookmarkStart w:id="52" w:name="_Toc15377212"/>
      <w:r>
        <w:rPr>
          <w:rFonts w:hint="eastAsia" w:ascii="方正楷体_GBK" w:hAnsi="方正楷体_GBK" w:eastAsia="方正楷体_GBK" w:cs="方正楷体_GBK"/>
          <w:b/>
          <w:sz w:val="33"/>
          <w:szCs w:val="33"/>
        </w:rPr>
        <w:t>（三）一般公共预算财政拨款支出决算具体情况</w:t>
      </w:r>
      <w:bookmarkEnd w:id="52"/>
    </w:p>
    <w:p>
      <w:pPr>
        <w:spacing w:line="600" w:lineRule="exact"/>
        <w:ind w:firstLine="663" w:firstLineChars="200"/>
        <w:outlineLvl w:val="9"/>
        <w:rPr>
          <w:rFonts w:hint="default" w:ascii="Times New Roman" w:hAnsi="Times New Roman" w:eastAsia="方正仿宋_GBK" w:cs="Times New Roman"/>
          <w:sz w:val="33"/>
          <w:szCs w:val="33"/>
        </w:rPr>
      </w:pPr>
      <w:bookmarkStart w:id="53" w:name="_Toc15378460"/>
      <w:bookmarkStart w:id="54" w:name="_Toc15377444"/>
      <w:bookmarkStart w:id="55" w:name="_Toc15377213"/>
      <w:r>
        <w:rPr>
          <w:rFonts w:hint="default" w:ascii="Times New Roman" w:hAnsi="Times New Roman" w:eastAsia="方正仿宋_GBK" w:cs="Times New Roman"/>
          <w:b/>
          <w:sz w:val="33"/>
          <w:szCs w:val="33"/>
        </w:rPr>
        <w:t>2023年度一般公共预算支出决算数为</w:t>
      </w:r>
      <w:r>
        <w:rPr>
          <w:rFonts w:hint="default" w:ascii="Times New Roman" w:hAnsi="Times New Roman" w:eastAsia="方正仿宋_GBK" w:cs="Times New Roman"/>
          <w:sz w:val="33"/>
          <w:szCs w:val="33"/>
        </w:rPr>
        <w:t>3692.99，</w:t>
      </w:r>
      <w:r>
        <w:rPr>
          <w:rStyle w:val="18"/>
          <w:rFonts w:hint="default" w:ascii="Times New Roman" w:hAnsi="Times New Roman" w:eastAsia="方正仿宋_GBK" w:cs="Times New Roman"/>
          <w:bCs/>
          <w:sz w:val="33"/>
          <w:szCs w:val="33"/>
        </w:rPr>
        <w:t>完成预算100%。其中：</w:t>
      </w:r>
      <w:bookmarkEnd w:id="53"/>
      <w:bookmarkEnd w:id="54"/>
      <w:bookmarkEnd w:id="55"/>
    </w:p>
    <w:p>
      <w:pPr>
        <w:spacing w:line="576" w:lineRule="exact"/>
        <w:ind w:firstLine="663" w:firstLineChars="200"/>
        <w:rPr>
          <w:rFonts w:eastAsia="方正仿宋_GBK"/>
          <w:bCs/>
          <w:color w:val="C0504D"/>
          <w:sz w:val="33"/>
          <w:szCs w:val="33"/>
        </w:rPr>
      </w:pPr>
      <w:r>
        <w:rPr>
          <w:rFonts w:eastAsia="方正仿宋_GBK"/>
          <w:b/>
          <w:kern w:val="0"/>
          <w:sz w:val="33"/>
          <w:szCs w:val="33"/>
        </w:rPr>
        <w:t>1</w:t>
      </w:r>
      <w:r>
        <w:rPr>
          <w:rFonts w:eastAsia="方正仿宋_GBK"/>
          <w:b/>
          <w:sz w:val="33"/>
          <w:szCs w:val="33"/>
        </w:rPr>
        <w:t>．</w:t>
      </w:r>
      <w:r>
        <w:rPr>
          <w:rFonts w:eastAsia="方正仿宋_GBK"/>
          <w:b/>
          <w:color w:val="000000"/>
          <w:sz w:val="33"/>
          <w:szCs w:val="33"/>
        </w:rPr>
        <w:t>一般公共服务（类）纪检监察事务（款）行政运行（项）</w:t>
      </w:r>
      <w:r>
        <w:rPr>
          <w:rFonts w:eastAsia="方正仿宋_GBK"/>
          <w:bCs/>
          <w:color w:val="000000"/>
          <w:sz w:val="33"/>
          <w:szCs w:val="33"/>
        </w:rPr>
        <w:t>: 支出决算为1577.49万元，</w:t>
      </w:r>
      <w:r>
        <w:rPr>
          <w:rFonts w:eastAsia="方正仿宋_GBK"/>
          <w:bCs/>
          <w:sz w:val="33"/>
          <w:szCs w:val="33"/>
        </w:rPr>
        <w:t>完成预算100%，决算数与预算数持平。</w:t>
      </w:r>
    </w:p>
    <w:p>
      <w:pPr>
        <w:spacing w:line="576" w:lineRule="exact"/>
        <w:ind w:firstLine="649" w:firstLineChars="196"/>
        <w:rPr>
          <w:rFonts w:eastAsia="方正仿宋_GBK"/>
          <w:bCs/>
          <w:sz w:val="33"/>
          <w:szCs w:val="33"/>
        </w:rPr>
      </w:pPr>
      <w:r>
        <w:rPr>
          <w:rFonts w:eastAsia="方正仿宋_GBK"/>
          <w:b/>
          <w:kern w:val="0"/>
          <w:sz w:val="33"/>
          <w:szCs w:val="33"/>
        </w:rPr>
        <w:t>2</w:t>
      </w:r>
      <w:r>
        <w:rPr>
          <w:rFonts w:eastAsia="方正仿宋_GBK"/>
          <w:b/>
          <w:sz w:val="33"/>
          <w:szCs w:val="33"/>
        </w:rPr>
        <w:t>．一般公共服务（类）纪检监察事务（款）一般行政管理事务（项）</w:t>
      </w:r>
      <w:r>
        <w:rPr>
          <w:rFonts w:eastAsia="方正仿宋_GBK"/>
          <w:bCs/>
          <w:sz w:val="33"/>
          <w:szCs w:val="33"/>
        </w:rPr>
        <w:t>:</w:t>
      </w:r>
      <w:r>
        <w:rPr>
          <w:rFonts w:eastAsia="方正仿宋_GBK"/>
          <w:sz w:val="33"/>
          <w:szCs w:val="33"/>
        </w:rPr>
        <w:t xml:space="preserve"> </w:t>
      </w:r>
      <w:r>
        <w:rPr>
          <w:rFonts w:eastAsia="方正仿宋_GBK"/>
          <w:bCs/>
          <w:sz w:val="33"/>
          <w:szCs w:val="33"/>
        </w:rPr>
        <w:t>支出决算数为480.55万元，完成预算100%，决算数与预算数持平。</w:t>
      </w:r>
    </w:p>
    <w:p>
      <w:pPr>
        <w:spacing w:line="576" w:lineRule="exact"/>
        <w:ind w:firstLine="649" w:firstLineChars="196"/>
        <w:rPr>
          <w:rFonts w:eastAsia="方正仿宋_GBK"/>
          <w:bCs/>
          <w:sz w:val="33"/>
          <w:szCs w:val="33"/>
        </w:rPr>
      </w:pPr>
      <w:r>
        <w:rPr>
          <w:rFonts w:eastAsia="方正仿宋_GBK"/>
          <w:b/>
          <w:kern w:val="0"/>
          <w:sz w:val="33"/>
          <w:szCs w:val="33"/>
        </w:rPr>
        <w:t>3</w:t>
      </w:r>
      <w:r>
        <w:rPr>
          <w:rFonts w:eastAsia="方正仿宋_GBK"/>
          <w:b/>
          <w:sz w:val="33"/>
          <w:szCs w:val="33"/>
        </w:rPr>
        <w:t>．一般公共服务（类）纪检监察事务（款）大案要案查处（项）</w:t>
      </w:r>
      <w:r>
        <w:rPr>
          <w:rFonts w:eastAsia="方正仿宋_GBK"/>
          <w:bCs/>
          <w:sz w:val="33"/>
          <w:szCs w:val="33"/>
        </w:rPr>
        <w:t>: 支出决算数为255.31万元，完成预算100%，决算数与预算数持平。</w:t>
      </w:r>
    </w:p>
    <w:p>
      <w:pPr>
        <w:spacing w:line="576" w:lineRule="exact"/>
        <w:ind w:firstLine="649" w:firstLineChars="196"/>
        <w:rPr>
          <w:rFonts w:eastAsia="方正仿宋_GBK"/>
          <w:bCs/>
          <w:sz w:val="33"/>
          <w:szCs w:val="33"/>
        </w:rPr>
      </w:pPr>
      <w:r>
        <w:rPr>
          <w:rFonts w:eastAsia="方正仿宋_GBK"/>
          <w:b/>
          <w:kern w:val="0"/>
          <w:sz w:val="33"/>
          <w:szCs w:val="33"/>
        </w:rPr>
        <w:t>4</w:t>
      </w:r>
      <w:r>
        <w:rPr>
          <w:rFonts w:eastAsia="方正仿宋_GBK"/>
          <w:b/>
          <w:sz w:val="33"/>
          <w:szCs w:val="33"/>
        </w:rPr>
        <w:t>．一般公共服务（类）纪检监察事务（款）巡视工作（项）</w:t>
      </w:r>
      <w:r>
        <w:rPr>
          <w:rFonts w:eastAsia="方正仿宋_GBK"/>
          <w:bCs/>
          <w:sz w:val="33"/>
          <w:szCs w:val="33"/>
        </w:rPr>
        <w:t>:</w:t>
      </w:r>
      <w:r>
        <w:rPr>
          <w:rFonts w:eastAsia="方正仿宋_GBK"/>
          <w:sz w:val="33"/>
          <w:szCs w:val="33"/>
        </w:rPr>
        <w:t xml:space="preserve"> </w:t>
      </w:r>
      <w:r>
        <w:rPr>
          <w:rFonts w:eastAsia="方正仿宋_GBK"/>
          <w:bCs/>
          <w:sz w:val="33"/>
          <w:szCs w:val="33"/>
        </w:rPr>
        <w:t>支出决算数为119.5万元，完成预算100%，决算数与预算数持平。</w:t>
      </w:r>
    </w:p>
    <w:p>
      <w:pPr>
        <w:spacing w:line="576" w:lineRule="exact"/>
        <w:ind w:firstLine="649" w:firstLineChars="196"/>
        <w:rPr>
          <w:rFonts w:eastAsia="方正仿宋_GBK"/>
          <w:bCs/>
          <w:sz w:val="33"/>
          <w:szCs w:val="33"/>
        </w:rPr>
      </w:pPr>
      <w:r>
        <w:rPr>
          <w:rFonts w:eastAsia="方正仿宋_GBK"/>
          <w:b/>
          <w:kern w:val="0"/>
          <w:sz w:val="33"/>
          <w:szCs w:val="33"/>
        </w:rPr>
        <w:t>5</w:t>
      </w:r>
      <w:r>
        <w:rPr>
          <w:rFonts w:eastAsia="方正仿宋_GBK"/>
          <w:b/>
          <w:sz w:val="33"/>
          <w:szCs w:val="33"/>
        </w:rPr>
        <w:t>．一般公共服务（类）纪检监察事务（款）其他纪检监察事务支出（项）</w:t>
      </w:r>
      <w:r>
        <w:rPr>
          <w:rFonts w:eastAsia="方正仿宋_GBK"/>
          <w:bCs/>
          <w:sz w:val="33"/>
          <w:szCs w:val="33"/>
        </w:rPr>
        <w:t>:</w:t>
      </w:r>
      <w:r>
        <w:rPr>
          <w:rFonts w:eastAsia="方正仿宋_GBK"/>
          <w:sz w:val="33"/>
          <w:szCs w:val="33"/>
        </w:rPr>
        <w:t xml:space="preserve"> </w:t>
      </w:r>
      <w:r>
        <w:rPr>
          <w:rFonts w:eastAsia="方正仿宋_GBK"/>
          <w:bCs/>
          <w:sz w:val="33"/>
          <w:szCs w:val="33"/>
        </w:rPr>
        <w:t>支出决算数为</w:t>
      </w:r>
      <w:r>
        <w:rPr>
          <w:rFonts w:hint="eastAsia" w:eastAsia="方正仿宋_GBK"/>
          <w:bCs/>
          <w:sz w:val="33"/>
          <w:szCs w:val="33"/>
        </w:rPr>
        <w:t>200.14</w:t>
      </w:r>
      <w:r>
        <w:rPr>
          <w:rFonts w:eastAsia="方正仿宋_GBK"/>
          <w:bCs/>
          <w:sz w:val="33"/>
          <w:szCs w:val="33"/>
        </w:rPr>
        <w:t>万元，完成预算100%，决算数与预算数持平。</w:t>
      </w:r>
    </w:p>
    <w:p>
      <w:pPr>
        <w:spacing w:line="576" w:lineRule="exact"/>
        <w:ind w:firstLine="649" w:firstLineChars="196"/>
        <w:rPr>
          <w:rFonts w:eastAsia="方正仿宋_GBK"/>
          <w:bCs/>
          <w:sz w:val="33"/>
          <w:szCs w:val="33"/>
        </w:rPr>
      </w:pPr>
      <w:r>
        <w:rPr>
          <w:rFonts w:eastAsia="方正仿宋_GBK"/>
          <w:b/>
          <w:sz w:val="33"/>
          <w:szCs w:val="33"/>
        </w:rPr>
        <w:t>6．一般公共服务（类）组织事务（款）其他组织事务支出（项）</w:t>
      </w:r>
      <w:r>
        <w:rPr>
          <w:rFonts w:eastAsia="方正仿宋_GBK"/>
          <w:bCs/>
          <w:sz w:val="33"/>
          <w:szCs w:val="33"/>
        </w:rPr>
        <w:t>:</w:t>
      </w:r>
      <w:r>
        <w:rPr>
          <w:rFonts w:eastAsia="方正仿宋_GBK"/>
          <w:sz w:val="33"/>
          <w:szCs w:val="33"/>
        </w:rPr>
        <w:t xml:space="preserve"> </w:t>
      </w:r>
      <w:r>
        <w:rPr>
          <w:rFonts w:eastAsia="方正仿宋_GBK"/>
          <w:bCs/>
          <w:sz w:val="33"/>
          <w:szCs w:val="33"/>
        </w:rPr>
        <w:t>支出决算数为</w:t>
      </w:r>
      <w:r>
        <w:rPr>
          <w:rFonts w:hint="eastAsia" w:eastAsia="方正仿宋_GBK"/>
          <w:bCs/>
          <w:sz w:val="33"/>
          <w:szCs w:val="33"/>
        </w:rPr>
        <w:t>1.51</w:t>
      </w:r>
      <w:r>
        <w:rPr>
          <w:rFonts w:eastAsia="方正仿宋_GBK"/>
          <w:bCs/>
          <w:sz w:val="33"/>
          <w:szCs w:val="33"/>
        </w:rPr>
        <w:t>万元，完成预算100%，决算数与预算数持平。</w:t>
      </w:r>
    </w:p>
    <w:p>
      <w:pPr>
        <w:spacing w:line="576" w:lineRule="exact"/>
        <w:ind w:firstLine="649" w:firstLineChars="196"/>
        <w:rPr>
          <w:rFonts w:eastAsia="方正仿宋_GBK"/>
          <w:bCs/>
          <w:sz w:val="33"/>
          <w:szCs w:val="33"/>
        </w:rPr>
      </w:pPr>
      <w:r>
        <w:rPr>
          <w:rFonts w:eastAsia="方正仿宋_GBK"/>
          <w:b/>
          <w:bCs/>
          <w:kern w:val="0"/>
          <w:sz w:val="33"/>
          <w:szCs w:val="33"/>
        </w:rPr>
        <w:t>7</w:t>
      </w:r>
      <w:r>
        <w:rPr>
          <w:rFonts w:eastAsia="方正仿宋_GBK"/>
          <w:b/>
          <w:bCs/>
          <w:sz w:val="33"/>
          <w:szCs w:val="33"/>
        </w:rPr>
        <w:t>．社会保障和就业（类）行政事业单位养老支出（款）行政单位离退休（项）</w:t>
      </w:r>
      <w:r>
        <w:rPr>
          <w:rFonts w:eastAsia="方正仿宋_GBK"/>
          <w:bCs/>
          <w:sz w:val="33"/>
          <w:szCs w:val="33"/>
        </w:rPr>
        <w:t>:</w:t>
      </w:r>
      <w:r>
        <w:rPr>
          <w:rFonts w:eastAsia="方正仿宋_GBK"/>
          <w:sz w:val="33"/>
          <w:szCs w:val="33"/>
        </w:rPr>
        <w:t xml:space="preserve"> </w:t>
      </w:r>
      <w:r>
        <w:rPr>
          <w:rFonts w:eastAsia="方正仿宋_GBK"/>
          <w:bCs/>
          <w:sz w:val="33"/>
          <w:szCs w:val="33"/>
        </w:rPr>
        <w:t>支出决算数为250.36万元，完成预算100%，决算数与预算数持平。</w:t>
      </w:r>
    </w:p>
    <w:p>
      <w:pPr>
        <w:spacing w:line="576" w:lineRule="exact"/>
        <w:ind w:firstLine="663" w:firstLineChars="200"/>
        <w:rPr>
          <w:rFonts w:eastAsia="方正仿宋_GBK"/>
          <w:kern w:val="0"/>
          <w:sz w:val="33"/>
          <w:szCs w:val="33"/>
        </w:rPr>
      </w:pPr>
      <w:r>
        <w:rPr>
          <w:rFonts w:eastAsia="方正仿宋_GBK"/>
          <w:b/>
          <w:bCs/>
          <w:kern w:val="0"/>
          <w:sz w:val="33"/>
          <w:szCs w:val="33"/>
        </w:rPr>
        <w:t>8</w:t>
      </w:r>
      <w:r>
        <w:rPr>
          <w:rFonts w:eastAsia="方正仿宋_GBK"/>
          <w:b/>
          <w:bCs/>
          <w:sz w:val="33"/>
          <w:szCs w:val="33"/>
        </w:rPr>
        <w:t>．社会保障和就业（类）行政事业单位养老支出（款）机关事业单位基本养老保险缴费支出（项）</w:t>
      </w:r>
      <w:r>
        <w:rPr>
          <w:rFonts w:eastAsia="方正仿宋_GBK"/>
          <w:sz w:val="33"/>
          <w:szCs w:val="33"/>
        </w:rPr>
        <w:t>: 支出决算数为</w:t>
      </w:r>
      <w:r>
        <w:rPr>
          <w:rFonts w:hint="eastAsia" w:eastAsia="方正仿宋_GBK"/>
          <w:sz w:val="33"/>
          <w:szCs w:val="33"/>
        </w:rPr>
        <w:t>244.62</w:t>
      </w:r>
      <w:r>
        <w:rPr>
          <w:rFonts w:eastAsia="方正仿宋_GBK"/>
          <w:sz w:val="33"/>
          <w:szCs w:val="33"/>
        </w:rPr>
        <w:t>万元,完成预算100%，决算数与预算数持平。</w:t>
      </w:r>
    </w:p>
    <w:p>
      <w:pPr>
        <w:spacing w:line="576" w:lineRule="exact"/>
        <w:ind w:firstLine="663" w:firstLineChars="200"/>
        <w:rPr>
          <w:rFonts w:eastAsia="方正仿宋_GBK"/>
          <w:sz w:val="33"/>
          <w:szCs w:val="33"/>
        </w:rPr>
      </w:pPr>
      <w:r>
        <w:rPr>
          <w:rFonts w:eastAsia="方正仿宋_GBK"/>
          <w:b/>
          <w:bCs/>
          <w:color w:val="000000"/>
          <w:kern w:val="0"/>
          <w:sz w:val="33"/>
          <w:szCs w:val="33"/>
        </w:rPr>
        <w:t>9</w:t>
      </w:r>
      <w:r>
        <w:rPr>
          <w:rFonts w:eastAsia="方正仿宋_GBK"/>
          <w:b/>
          <w:bCs/>
          <w:sz w:val="33"/>
          <w:szCs w:val="33"/>
        </w:rPr>
        <w:t>．</w:t>
      </w:r>
      <w:r>
        <w:rPr>
          <w:rFonts w:eastAsia="方正仿宋_GBK"/>
          <w:b/>
          <w:bCs/>
          <w:color w:val="000000"/>
          <w:sz w:val="33"/>
          <w:szCs w:val="33"/>
        </w:rPr>
        <w:t>社会保障和就业（类）</w:t>
      </w:r>
      <w:r>
        <w:rPr>
          <w:rFonts w:eastAsia="方正仿宋_GBK"/>
          <w:b/>
          <w:bCs/>
          <w:sz w:val="33"/>
          <w:szCs w:val="33"/>
        </w:rPr>
        <w:t>行政事业单位养老支出</w:t>
      </w:r>
      <w:r>
        <w:rPr>
          <w:rFonts w:eastAsia="方正仿宋_GBK"/>
          <w:b/>
          <w:bCs/>
          <w:color w:val="000000"/>
          <w:sz w:val="33"/>
          <w:szCs w:val="33"/>
        </w:rPr>
        <w:t>（款）机关事业单位职业年金缴费支出（项）</w:t>
      </w:r>
      <w:r>
        <w:rPr>
          <w:rFonts w:eastAsia="方正仿宋_GBK"/>
          <w:color w:val="000000"/>
          <w:sz w:val="33"/>
          <w:szCs w:val="33"/>
        </w:rPr>
        <w:t>:</w:t>
      </w:r>
      <w:r>
        <w:rPr>
          <w:rFonts w:eastAsia="方正仿宋_GBK"/>
          <w:sz w:val="33"/>
          <w:szCs w:val="33"/>
        </w:rPr>
        <w:t xml:space="preserve"> </w:t>
      </w:r>
      <w:r>
        <w:rPr>
          <w:rFonts w:eastAsia="方正仿宋_GBK"/>
          <w:color w:val="000000"/>
          <w:sz w:val="33"/>
          <w:szCs w:val="33"/>
        </w:rPr>
        <w:t>支出决算数为20.07万元，完成预算100%，</w:t>
      </w:r>
      <w:r>
        <w:rPr>
          <w:rFonts w:eastAsia="方正仿宋_GBK"/>
          <w:sz w:val="33"/>
          <w:szCs w:val="33"/>
        </w:rPr>
        <w:t>决算数与预算数持平。</w:t>
      </w:r>
    </w:p>
    <w:p>
      <w:pPr>
        <w:spacing w:line="576" w:lineRule="exact"/>
        <w:ind w:firstLine="663" w:firstLineChars="200"/>
        <w:rPr>
          <w:rFonts w:eastAsia="方正仿宋_GBK"/>
          <w:sz w:val="33"/>
          <w:szCs w:val="33"/>
        </w:rPr>
      </w:pPr>
      <w:r>
        <w:rPr>
          <w:rFonts w:eastAsia="方正仿宋_GBK"/>
          <w:b/>
          <w:bCs/>
          <w:sz w:val="33"/>
          <w:szCs w:val="33"/>
        </w:rPr>
        <w:t>10</w:t>
      </w:r>
      <w:r>
        <w:rPr>
          <w:rFonts w:eastAsia="方正仿宋_GBK"/>
          <w:b/>
          <w:sz w:val="33"/>
          <w:szCs w:val="33"/>
        </w:rPr>
        <w:t>．</w:t>
      </w:r>
      <w:r>
        <w:rPr>
          <w:rFonts w:eastAsia="方正仿宋_GBK"/>
          <w:b/>
          <w:bCs/>
          <w:sz w:val="33"/>
          <w:szCs w:val="33"/>
        </w:rPr>
        <w:t>社会保障和就业（类）人力资源和社会保障管理事务（款）其他人力资源和社会保障管理事务支出（项）</w:t>
      </w:r>
      <w:r>
        <w:rPr>
          <w:rFonts w:eastAsia="方正仿宋_GBK"/>
          <w:sz w:val="33"/>
          <w:szCs w:val="33"/>
        </w:rPr>
        <w:t>: 支出决算数为1.6万元，完成预算100%，决算数与预算数持平。</w:t>
      </w:r>
    </w:p>
    <w:p>
      <w:pPr>
        <w:spacing w:line="576" w:lineRule="exact"/>
        <w:ind w:firstLine="663" w:firstLineChars="200"/>
        <w:rPr>
          <w:rFonts w:eastAsia="方正仿宋_GBK"/>
          <w:sz w:val="33"/>
          <w:szCs w:val="33"/>
        </w:rPr>
      </w:pPr>
      <w:r>
        <w:rPr>
          <w:rFonts w:eastAsia="方正仿宋_GBK"/>
          <w:b/>
          <w:bCs/>
          <w:kern w:val="0"/>
          <w:sz w:val="33"/>
          <w:szCs w:val="33"/>
        </w:rPr>
        <w:t>11</w:t>
      </w:r>
      <w:r>
        <w:rPr>
          <w:rFonts w:eastAsia="方正仿宋_GBK"/>
          <w:b/>
          <w:sz w:val="33"/>
          <w:szCs w:val="33"/>
        </w:rPr>
        <w:t>．</w:t>
      </w:r>
      <w:r>
        <w:rPr>
          <w:rFonts w:eastAsia="方正仿宋_GBK"/>
          <w:b/>
          <w:bCs/>
          <w:sz w:val="33"/>
          <w:szCs w:val="33"/>
        </w:rPr>
        <w:t>社会保障和就业（类）社会福利（款）儿童福利（项）</w:t>
      </w:r>
      <w:r>
        <w:rPr>
          <w:rFonts w:eastAsia="方正仿宋_GBK"/>
          <w:sz w:val="33"/>
          <w:szCs w:val="33"/>
        </w:rPr>
        <w:t>: 支出决算数为0.6万元，完成预算100%，决算数与预算数持平。</w:t>
      </w:r>
    </w:p>
    <w:p>
      <w:pPr>
        <w:spacing w:line="576" w:lineRule="exact"/>
        <w:ind w:firstLine="663" w:firstLineChars="200"/>
        <w:rPr>
          <w:rFonts w:eastAsia="方正仿宋_GBK"/>
        </w:rPr>
      </w:pPr>
      <w:r>
        <w:rPr>
          <w:rFonts w:eastAsia="方正仿宋_GBK"/>
          <w:b/>
          <w:bCs/>
          <w:sz w:val="33"/>
          <w:szCs w:val="33"/>
        </w:rPr>
        <w:t>12</w:t>
      </w:r>
      <w:r>
        <w:rPr>
          <w:rFonts w:eastAsia="方正仿宋_GBK"/>
          <w:b/>
          <w:sz w:val="33"/>
          <w:szCs w:val="33"/>
        </w:rPr>
        <w:t>．</w:t>
      </w:r>
      <w:r>
        <w:rPr>
          <w:rFonts w:eastAsia="方正仿宋_GBK"/>
          <w:b/>
          <w:bCs/>
          <w:sz w:val="33"/>
          <w:szCs w:val="33"/>
        </w:rPr>
        <w:t>卫生健康支出（类）行政事业单位医疗（款）行政单位医疗（项）</w:t>
      </w:r>
      <w:r>
        <w:rPr>
          <w:rFonts w:eastAsia="方正仿宋_GBK"/>
          <w:sz w:val="33"/>
          <w:szCs w:val="33"/>
        </w:rPr>
        <w:t>: 支出决算数为103.47万元，完成预算100%，决算数与预算数持平。</w:t>
      </w:r>
    </w:p>
    <w:p>
      <w:pPr>
        <w:spacing w:line="576" w:lineRule="exact"/>
        <w:ind w:firstLine="663" w:firstLineChars="200"/>
        <w:rPr>
          <w:rFonts w:eastAsia="方正仿宋_GBK"/>
          <w:b/>
          <w:sz w:val="32"/>
          <w:szCs w:val="32"/>
        </w:rPr>
      </w:pPr>
      <w:r>
        <w:rPr>
          <w:rFonts w:eastAsia="方正仿宋_GBK"/>
          <w:b/>
          <w:bCs/>
          <w:sz w:val="33"/>
          <w:szCs w:val="33"/>
        </w:rPr>
        <w:t>13</w:t>
      </w:r>
      <w:r>
        <w:rPr>
          <w:rFonts w:eastAsia="方正仿宋_GBK"/>
          <w:b/>
          <w:sz w:val="33"/>
          <w:szCs w:val="33"/>
        </w:rPr>
        <w:t>．</w:t>
      </w:r>
      <w:r>
        <w:rPr>
          <w:rFonts w:eastAsia="方正仿宋_GBK"/>
          <w:b/>
          <w:bCs/>
          <w:sz w:val="33"/>
          <w:szCs w:val="33"/>
        </w:rPr>
        <w:t>卫生健康支出（类）行政事业单位医疗（款）公务员医疗补助（项）</w:t>
      </w:r>
      <w:r>
        <w:rPr>
          <w:rFonts w:eastAsia="方正仿宋_GBK"/>
          <w:sz w:val="33"/>
          <w:szCs w:val="33"/>
        </w:rPr>
        <w:t>: 支出决算数为</w:t>
      </w:r>
      <w:r>
        <w:rPr>
          <w:rFonts w:hint="eastAsia" w:eastAsia="方正仿宋_GBK"/>
          <w:sz w:val="33"/>
          <w:szCs w:val="33"/>
        </w:rPr>
        <w:t>7.47</w:t>
      </w:r>
      <w:r>
        <w:rPr>
          <w:rFonts w:eastAsia="方正仿宋_GBK"/>
          <w:sz w:val="33"/>
          <w:szCs w:val="33"/>
        </w:rPr>
        <w:t>万元，完成预算100%，决算数与预算数持平。</w:t>
      </w:r>
    </w:p>
    <w:p>
      <w:pPr>
        <w:spacing w:line="576" w:lineRule="exact"/>
        <w:ind w:firstLine="663" w:firstLineChars="200"/>
        <w:rPr>
          <w:rFonts w:eastAsia="方正仿宋_GBK"/>
          <w:sz w:val="33"/>
          <w:szCs w:val="33"/>
        </w:rPr>
      </w:pPr>
      <w:r>
        <w:rPr>
          <w:rFonts w:eastAsia="方正仿宋_GBK"/>
          <w:b/>
          <w:bCs/>
          <w:sz w:val="33"/>
          <w:szCs w:val="33"/>
        </w:rPr>
        <w:t>14</w:t>
      </w:r>
      <w:r>
        <w:rPr>
          <w:rFonts w:eastAsia="方正仿宋_GBK"/>
          <w:b/>
          <w:sz w:val="33"/>
          <w:szCs w:val="33"/>
        </w:rPr>
        <w:t>．</w:t>
      </w:r>
      <w:r>
        <w:rPr>
          <w:rFonts w:eastAsia="方正仿宋_GBK"/>
          <w:b/>
          <w:bCs/>
          <w:sz w:val="33"/>
          <w:szCs w:val="33"/>
        </w:rPr>
        <w:t>卫生健康支出（类）行政事业单位医疗（款）其他行政事业单位医疗支出（项）</w:t>
      </w:r>
      <w:r>
        <w:rPr>
          <w:rFonts w:eastAsia="方正仿宋_GBK"/>
          <w:sz w:val="33"/>
          <w:szCs w:val="33"/>
        </w:rPr>
        <w:t>: 支出决算数为</w:t>
      </w:r>
      <w:r>
        <w:rPr>
          <w:rFonts w:hint="eastAsia" w:eastAsia="方正仿宋_GBK"/>
          <w:sz w:val="33"/>
          <w:szCs w:val="33"/>
        </w:rPr>
        <w:t>14.06</w:t>
      </w:r>
      <w:r>
        <w:rPr>
          <w:rFonts w:eastAsia="方正仿宋_GBK"/>
          <w:sz w:val="33"/>
          <w:szCs w:val="33"/>
        </w:rPr>
        <w:t>万元，完成预算100%，决算数与预算数持平。</w:t>
      </w:r>
    </w:p>
    <w:p>
      <w:pPr>
        <w:spacing w:line="576" w:lineRule="exact"/>
        <w:ind w:firstLine="663" w:firstLineChars="200"/>
        <w:rPr>
          <w:rFonts w:eastAsia="方正仿宋_GBK"/>
          <w:b/>
          <w:sz w:val="32"/>
          <w:szCs w:val="32"/>
        </w:rPr>
      </w:pPr>
      <w:r>
        <w:rPr>
          <w:rFonts w:eastAsia="方正仿宋_GBK"/>
          <w:b/>
          <w:bCs/>
          <w:sz w:val="33"/>
          <w:szCs w:val="33"/>
        </w:rPr>
        <w:t>15</w:t>
      </w:r>
      <w:r>
        <w:rPr>
          <w:rFonts w:eastAsia="方正仿宋_GBK"/>
          <w:b/>
          <w:sz w:val="33"/>
          <w:szCs w:val="33"/>
        </w:rPr>
        <w:t>．</w:t>
      </w:r>
      <w:r>
        <w:rPr>
          <w:rFonts w:eastAsia="方正仿宋_GBK"/>
          <w:b/>
          <w:bCs/>
          <w:sz w:val="33"/>
          <w:szCs w:val="33"/>
        </w:rPr>
        <w:t>卫生健康支出（类）其他卫生健康支出（款）其他卫生健康支出（项）</w:t>
      </w:r>
      <w:r>
        <w:rPr>
          <w:rFonts w:eastAsia="方正仿宋_GBK"/>
          <w:sz w:val="33"/>
          <w:szCs w:val="33"/>
        </w:rPr>
        <w:t>: 支出决算数为0.84万元，完成预算100%，决算数与预算数持平。</w:t>
      </w:r>
    </w:p>
    <w:p>
      <w:pPr>
        <w:spacing w:line="576" w:lineRule="exact"/>
        <w:ind w:firstLine="663" w:firstLineChars="200"/>
        <w:rPr>
          <w:rFonts w:eastAsia="方正仿宋_GBK"/>
          <w:b/>
          <w:sz w:val="32"/>
          <w:szCs w:val="32"/>
        </w:rPr>
      </w:pPr>
      <w:r>
        <w:rPr>
          <w:rFonts w:eastAsia="方正仿宋_GBK"/>
          <w:b/>
          <w:bCs/>
          <w:sz w:val="33"/>
          <w:szCs w:val="33"/>
        </w:rPr>
        <w:t>16</w:t>
      </w:r>
      <w:r>
        <w:rPr>
          <w:rFonts w:eastAsia="方正仿宋_GBK"/>
          <w:b/>
          <w:sz w:val="33"/>
          <w:szCs w:val="33"/>
        </w:rPr>
        <w:t>．</w:t>
      </w:r>
      <w:r>
        <w:rPr>
          <w:rFonts w:eastAsia="方正仿宋_GBK"/>
          <w:b/>
          <w:bCs/>
          <w:sz w:val="33"/>
          <w:szCs w:val="33"/>
        </w:rPr>
        <w:t>城乡社区支出（类）城乡社区公共设施（款）其他城乡社区公共设施支出（项）</w:t>
      </w:r>
      <w:r>
        <w:rPr>
          <w:rFonts w:eastAsia="方正仿宋_GBK"/>
          <w:sz w:val="33"/>
          <w:szCs w:val="33"/>
        </w:rPr>
        <w:t>: 支出决算数为19.86万元，完成预算100%，决算数与预算数持平。</w:t>
      </w:r>
    </w:p>
    <w:p>
      <w:pPr>
        <w:spacing w:line="576" w:lineRule="exact"/>
        <w:ind w:firstLine="663" w:firstLineChars="200"/>
        <w:rPr>
          <w:rFonts w:eastAsia="方正仿宋_GBK"/>
          <w:b/>
          <w:sz w:val="32"/>
          <w:szCs w:val="32"/>
        </w:rPr>
      </w:pPr>
      <w:r>
        <w:rPr>
          <w:rFonts w:eastAsia="方正仿宋_GBK"/>
          <w:b/>
          <w:bCs/>
          <w:sz w:val="33"/>
          <w:szCs w:val="33"/>
        </w:rPr>
        <w:t>17</w:t>
      </w:r>
      <w:r>
        <w:rPr>
          <w:rFonts w:eastAsia="方正仿宋_GBK"/>
          <w:b/>
          <w:sz w:val="33"/>
          <w:szCs w:val="33"/>
        </w:rPr>
        <w:t>．</w:t>
      </w:r>
      <w:r>
        <w:rPr>
          <w:rFonts w:eastAsia="方正仿宋_GBK"/>
          <w:b/>
          <w:bCs/>
          <w:sz w:val="33"/>
          <w:szCs w:val="33"/>
        </w:rPr>
        <w:t>农林水支出（类）农业农村（款）其他农业农村支出（项）</w:t>
      </w:r>
      <w:r>
        <w:rPr>
          <w:rFonts w:eastAsia="方正仿宋_GBK"/>
          <w:sz w:val="33"/>
          <w:szCs w:val="33"/>
        </w:rPr>
        <w:t>: 支出决算数为1.89万元，完成预算100%，决算数与预算数持平。</w:t>
      </w:r>
    </w:p>
    <w:p>
      <w:pPr>
        <w:spacing w:line="576" w:lineRule="exact"/>
        <w:ind w:firstLine="663" w:firstLineChars="200"/>
        <w:rPr>
          <w:rFonts w:eastAsia="方正仿宋_GBK"/>
          <w:b/>
          <w:sz w:val="33"/>
          <w:szCs w:val="33"/>
        </w:rPr>
      </w:pPr>
      <w:r>
        <w:rPr>
          <w:rFonts w:eastAsia="方正仿宋_GBK"/>
          <w:b/>
          <w:bCs/>
          <w:sz w:val="33"/>
          <w:szCs w:val="33"/>
        </w:rPr>
        <w:t>18</w:t>
      </w:r>
      <w:r>
        <w:rPr>
          <w:rFonts w:eastAsia="方正仿宋_GBK"/>
          <w:b/>
          <w:sz w:val="33"/>
          <w:szCs w:val="33"/>
        </w:rPr>
        <w:t>．</w:t>
      </w:r>
      <w:r>
        <w:rPr>
          <w:rFonts w:eastAsia="方正仿宋_GBK"/>
          <w:b/>
          <w:bCs/>
          <w:sz w:val="33"/>
          <w:szCs w:val="33"/>
        </w:rPr>
        <w:t>住房保障支出（类）住房改革支出（款）住房公积金（项）</w:t>
      </w:r>
      <w:r>
        <w:rPr>
          <w:rFonts w:eastAsia="方正仿宋_GBK"/>
          <w:sz w:val="33"/>
          <w:szCs w:val="33"/>
        </w:rPr>
        <w:t>: 支出决算数为</w:t>
      </w:r>
      <w:r>
        <w:rPr>
          <w:rFonts w:hint="eastAsia" w:eastAsia="方正仿宋_GBK"/>
          <w:sz w:val="33"/>
          <w:szCs w:val="33"/>
        </w:rPr>
        <w:t>171.35</w:t>
      </w:r>
      <w:r>
        <w:rPr>
          <w:rFonts w:eastAsia="方正仿宋_GBK"/>
          <w:sz w:val="33"/>
          <w:szCs w:val="33"/>
        </w:rPr>
        <w:t>万元，完成预算100%，决算数与预算数持平。</w:t>
      </w:r>
    </w:p>
    <w:p>
      <w:pPr>
        <w:spacing w:line="576" w:lineRule="exact"/>
        <w:ind w:firstLine="663" w:firstLineChars="200"/>
        <w:rPr>
          <w:rFonts w:eastAsia="方正仿宋_GBK"/>
          <w:sz w:val="33"/>
          <w:szCs w:val="33"/>
        </w:rPr>
      </w:pPr>
      <w:r>
        <w:rPr>
          <w:rFonts w:eastAsia="方正仿宋_GBK"/>
          <w:b/>
          <w:kern w:val="0"/>
          <w:sz w:val="33"/>
          <w:szCs w:val="33"/>
        </w:rPr>
        <w:t>1</w:t>
      </w:r>
      <w:r>
        <w:rPr>
          <w:rFonts w:hint="eastAsia" w:eastAsia="方正仿宋_GBK"/>
          <w:b/>
          <w:kern w:val="0"/>
          <w:sz w:val="33"/>
          <w:szCs w:val="33"/>
        </w:rPr>
        <w:t>9</w:t>
      </w:r>
      <w:r>
        <w:rPr>
          <w:rFonts w:eastAsia="方正仿宋_GBK"/>
          <w:b/>
          <w:sz w:val="33"/>
          <w:szCs w:val="33"/>
        </w:rPr>
        <w:t>．</w:t>
      </w:r>
      <w:r>
        <w:rPr>
          <w:rFonts w:eastAsia="方正仿宋_GBK"/>
          <w:b/>
          <w:bCs/>
          <w:sz w:val="33"/>
          <w:szCs w:val="33"/>
        </w:rPr>
        <w:t>一般公共服务（类）纪检监察事务（款）事业运行（项）</w:t>
      </w:r>
      <w:r>
        <w:rPr>
          <w:rFonts w:eastAsia="方正仿宋_GBK"/>
          <w:sz w:val="33"/>
          <w:szCs w:val="33"/>
        </w:rPr>
        <w:t>:支出决算数为207.43万元，完成预算100%，决算数与预算数持平。</w:t>
      </w:r>
    </w:p>
    <w:p>
      <w:pPr>
        <w:spacing w:line="576" w:lineRule="exact"/>
        <w:ind w:firstLine="663" w:firstLineChars="200"/>
        <w:rPr>
          <w:rFonts w:hint="eastAsia" w:ascii="仿宋" w:hAnsi="仿宋" w:eastAsia="仿宋"/>
          <w:b/>
          <w:sz w:val="33"/>
          <w:szCs w:val="33"/>
        </w:rPr>
      </w:pPr>
      <w:r>
        <w:rPr>
          <w:rFonts w:hint="eastAsia" w:eastAsia="方正仿宋_GBK"/>
          <w:b/>
          <w:kern w:val="0"/>
          <w:sz w:val="33"/>
          <w:szCs w:val="33"/>
        </w:rPr>
        <w:t>20</w:t>
      </w:r>
      <w:r>
        <w:rPr>
          <w:rFonts w:eastAsia="方正仿宋_GBK"/>
          <w:b/>
          <w:sz w:val="33"/>
          <w:szCs w:val="33"/>
        </w:rPr>
        <w:t>．</w:t>
      </w:r>
      <w:r>
        <w:rPr>
          <w:rFonts w:eastAsia="方正仿宋_GBK"/>
          <w:b/>
          <w:bCs/>
          <w:sz w:val="32"/>
          <w:szCs w:val="32"/>
        </w:rPr>
        <w:t>卫生健康支出</w:t>
      </w:r>
      <w:r>
        <w:rPr>
          <w:rStyle w:val="18"/>
          <w:rFonts w:eastAsia="方正仿宋_GBK"/>
          <w:bCs/>
          <w:sz w:val="32"/>
          <w:szCs w:val="32"/>
        </w:rPr>
        <w:t>（类）行政事业单位医疗（款）事业单位医疗（项）:</w:t>
      </w:r>
      <w:r>
        <w:rPr>
          <w:rStyle w:val="18"/>
          <w:rFonts w:eastAsia="方正仿宋_GBK"/>
          <w:b w:val="0"/>
          <w:bCs/>
          <w:sz w:val="32"/>
          <w:szCs w:val="32"/>
        </w:rPr>
        <w:t>支出决算为14.87万元，</w:t>
      </w:r>
      <w:r>
        <w:rPr>
          <w:rFonts w:eastAsia="方正仿宋_GBK"/>
          <w:sz w:val="33"/>
          <w:szCs w:val="33"/>
        </w:rPr>
        <w:t>完成预算100%，决算数与预算数持平。</w:t>
      </w:r>
    </w:p>
    <w:p>
      <w:pPr>
        <w:tabs>
          <w:tab w:val="right" w:pos="8306"/>
        </w:tabs>
        <w:spacing w:line="600" w:lineRule="exact"/>
        <w:ind w:firstLine="640"/>
        <w:outlineLvl w:val="1"/>
        <w:rPr>
          <w:rStyle w:val="30"/>
          <w:sz w:val="33"/>
          <w:szCs w:val="33"/>
        </w:rPr>
      </w:pPr>
      <w:bookmarkStart w:id="56" w:name="_Toc15377214"/>
      <w:bookmarkStart w:id="57" w:name="_Toc27618"/>
      <w:bookmarkStart w:id="58" w:name="_Toc15396608"/>
      <w:r>
        <w:rPr>
          <w:rFonts w:hint="eastAsia" w:ascii="黑体" w:eastAsia="黑体"/>
          <w:sz w:val="33"/>
          <w:szCs w:val="33"/>
        </w:rPr>
        <w:t>六</w:t>
      </w:r>
      <w:r>
        <w:rPr>
          <w:rFonts w:hint="eastAsia" w:ascii="黑体" w:eastAsia="黑体"/>
          <w:b/>
          <w:sz w:val="33"/>
          <w:szCs w:val="33"/>
        </w:rPr>
        <w:t>、</w:t>
      </w:r>
      <w:r>
        <w:rPr>
          <w:rFonts w:hint="eastAsia" w:ascii="黑体" w:hAnsi="黑体" w:eastAsia="黑体"/>
          <w:b/>
          <w:sz w:val="33"/>
          <w:szCs w:val="33"/>
        </w:rPr>
        <w:t>一</w:t>
      </w:r>
      <w:r>
        <w:rPr>
          <w:rStyle w:val="30"/>
          <w:rFonts w:hint="eastAsia" w:ascii="黑体" w:hAnsi="黑体" w:eastAsia="黑体"/>
          <w:b w:val="0"/>
          <w:sz w:val="33"/>
          <w:szCs w:val="33"/>
        </w:rPr>
        <w:t>般公共预算财政拨款基本支出决算情况说明</w:t>
      </w:r>
      <w:bookmarkEnd w:id="56"/>
      <w:bookmarkEnd w:id="57"/>
      <w:bookmarkEnd w:id="58"/>
      <w:r>
        <w:rPr>
          <w:rStyle w:val="30"/>
          <w:rFonts w:ascii="黑体" w:hAnsi="黑体" w:eastAsia="黑体"/>
          <w:b w:val="0"/>
          <w:sz w:val="33"/>
          <w:szCs w:val="33"/>
        </w:rPr>
        <w:tab/>
      </w:r>
    </w:p>
    <w:p>
      <w:pPr>
        <w:spacing w:line="600" w:lineRule="exact"/>
        <w:ind w:firstLine="645"/>
        <w:rPr>
          <w:rFonts w:eastAsia="方正仿宋_GBK"/>
          <w:sz w:val="33"/>
          <w:szCs w:val="33"/>
        </w:rPr>
      </w:pPr>
      <w:r>
        <w:rPr>
          <w:rFonts w:eastAsia="方正仿宋_GBK"/>
          <w:sz w:val="33"/>
          <w:szCs w:val="33"/>
        </w:rPr>
        <w:t>2023年度一般公共预算财政拨款基本支出2612.79万元，其中：</w:t>
      </w:r>
    </w:p>
    <w:p>
      <w:pPr>
        <w:spacing w:line="600" w:lineRule="exact"/>
        <w:ind w:firstLine="645"/>
        <w:rPr>
          <w:rFonts w:eastAsia="方正仿宋_GBK"/>
          <w:sz w:val="33"/>
          <w:szCs w:val="33"/>
        </w:rPr>
      </w:pPr>
      <w:r>
        <w:rPr>
          <w:rFonts w:eastAsia="方正仿宋_GBK"/>
          <w:sz w:val="33"/>
          <w:szCs w:val="33"/>
        </w:rPr>
        <w:t>人员经费2295.87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hint="eastAsia" w:ascii="仿宋" w:hAnsi="仿宋" w:eastAsia="仿宋"/>
          <w:b/>
          <w:sz w:val="33"/>
          <w:szCs w:val="33"/>
        </w:rPr>
      </w:pPr>
      <w:r>
        <w:rPr>
          <w:rFonts w:eastAsia="方正仿宋_GBK"/>
          <w:sz w:val="33"/>
          <w:szCs w:val="33"/>
        </w:rPr>
        <w:t>公用经费316.92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0"/>
          <w:rFonts w:hint="eastAsia" w:ascii="黑体" w:hAnsi="黑体" w:eastAsia="黑体"/>
          <w:b w:val="0"/>
          <w:sz w:val="33"/>
          <w:szCs w:val="33"/>
        </w:rPr>
      </w:pPr>
      <w:bookmarkStart w:id="59" w:name="_Toc15396609"/>
      <w:bookmarkStart w:id="60" w:name="_Toc11701"/>
      <w:bookmarkStart w:id="61" w:name="_Toc15377215"/>
      <w:r>
        <w:rPr>
          <w:rFonts w:hint="eastAsia" w:ascii="黑体" w:eastAsia="黑体"/>
          <w:sz w:val="33"/>
          <w:szCs w:val="33"/>
        </w:rPr>
        <w:t>七、</w:t>
      </w:r>
      <w:r>
        <w:rPr>
          <w:rStyle w:val="30"/>
          <w:rFonts w:hint="eastAsia" w:ascii="黑体" w:hAnsi="黑体" w:eastAsia="黑体"/>
          <w:b w:val="0"/>
          <w:sz w:val="33"/>
          <w:szCs w:val="33"/>
        </w:rPr>
        <w:t>财政拨款</w:t>
      </w:r>
      <w:r>
        <w:rPr>
          <w:rStyle w:val="30"/>
          <w:rFonts w:hint="eastAsia" w:ascii="黑体" w:hAnsi="黑体" w:eastAsia="黑体"/>
          <w:sz w:val="33"/>
          <w:szCs w:val="33"/>
        </w:rPr>
        <w:t>“</w:t>
      </w:r>
      <w:r>
        <w:rPr>
          <w:rStyle w:val="30"/>
          <w:rFonts w:hint="eastAsia" w:ascii="黑体" w:hAnsi="黑体" w:eastAsia="黑体"/>
          <w:b w:val="0"/>
          <w:sz w:val="33"/>
          <w:szCs w:val="33"/>
        </w:rPr>
        <w:t>三公”经费支出决算情况说明</w:t>
      </w:r>
      <w:bookmarkEnd w:id="59"/>
      <w:bookmarkEnd w:id="60"/>
      <w:bookmarkEnd w:id="61"/>
    </w:p>
    <w:p>
      <w:pPr>
        <w:spacing w:line="600" w:lineRule="exact"/>
        <w:ind w:firstLine="640"/>
        <w:outlineLvl w:val="9"/>
        <w:rPr>
          <w:rFonts w:hint="eastAsia" w:ascii="方正楷体_GBK" w:hAnsi="方正楷体_GBK" w:eastAsia="方正楷体_GBK" w:cs="方正楷体_GBK"/>
          <w:b/>
          <w:sz w:val="33"/>
          <w:szCs w:val="33"/>
        </w:rPr>
      </w:pPr>
      <w:bookmarkStart w:id="62" w:name="_Toc15377216"/>
      <w:r>
        <w:rPr>
          <w:rFonts w:hint="eastAsia" w:ascii="方正楷体_GBK" w:hAnsi="方正楷体_GBK" w:eastAsia="方正楷体_GBK" w:cs="方正楷体_GBK"/>
          <w:b/>
          <w:sz w:val="33"/>
          <w:szCs w:val="33"/>
        </w:rPr>
        <w:t>（一）“三公”经费财政拨款支出决算总体情况说明</w:t>
      </w:r>
      <w:bookmarkEnd w:id="62"/>
    </w:p>
    <w:p>
      <w:pPr>
        <w:spacing w:line="600" w:lineRule="exact"/>
        <w:ind w:firstLine="640"/>
        <w:rPr>
          <w:rFonts w:eastAsia="方正仿宋_GBK"/>
          <w:sz w:val="33"/>
          <w:szCs w:val="33"/>
        </w:rPr>
      </w:pPr>
      <w:r>
        <w:rPr>
          <w:rFonts w:eastAsia="方正仿宋_GBK"/>
          <w:sz w:val="33"/>
          <w:szCs w:val="33"/>
        </w:rPr>
        <w:t>2023年度“三公”经费财政拨款支出决算为26.89万元，完成预算99.57%，较上年度减少4.03万元，下降13.03%。决算数小于预算数的主要原因是加强车辆管理，降低公务用车运行成本。</w:t>
      </w:r>
    </w:p>
    <w:p>
      <w:pPr>
        <w:spacing w:line="600" w:lineRule="exact"/>
        <w:ind w:firstLine="640"/>
        <w:outlineLvl w:val="9"/>
        <w:rPr>
          <w:rFonts w:hint="eastAsia" w:ascii="方正楷体_GBK" w:hAnsi="方正楷体_GBK" w:eastAsia="方正楷体_GBK" w:cs="方正楷体_GBK"/>
          <w:b/>
          <w:sz w:val="33"/>
          <w:szCs w:val="33"/>
        </w:rPr>
      </w:pPr>
      <w:bookmarkStart w:id="63" w:name="_Toc15377217"/>
      <w:r>
        <w:rPr>
          <w:rFonts w:hint="eastAsia" w:ascii="方正楷体_GBK" w:hAnsi="方正楷体_GBK" w:eastAsia="方正楷体_GBK" w:cs="方正楷体_GBK"/>
          <w:b/>
          <w:sz w:val="33"/>
          <w:szCs w:val="33"/>
        </w:rPr>
        <w:t>（二）“三公”经费财政拨款支出决算具体情况说明</w:t>
      </w:r>
      <w:bookmarkEnd w:id="63"/>
    </w:p>
    <w:p>
      <w:pPr>
        <w:spacing w:line="600" w:lineRule="exact"/>
        <w:ind w:firstLine="640"/>
        <w:rPr>
          <w:rFonts w:eastAsia="方正仿宋_GBK"/>
          <w:sz w:val="33"/>
          <w:szCs w:val="33"/>
        </w:rPr>
      </w:pPr>
      <w:r>
        <w:rPr>
          <w:rFonts w:eastAsia="方正仿宋_GBK"/>
          <w:sz w:val="33"/>
          <w:szCs w:val="33"/>
        </w:rPr>
        <w:t>2023年度“三公”经费财政拨款支出决算中，因公出国（境）费支出决算0万元，占0%；公务用车购置及运行维护费支出决算24.49万元，占91.1%；公务接待费支出决算2.39万元，占8.89%。具体情况如下：</w:t>
      </w:r>
    </w:p>
    <w:p>
      <w:pPr>
        <w:spacing w:line="600" w:lineRule="exact"/>
        <w:ind w:firstLine="640"/>
        <w:rPr>
          <w:rFonts w:eastAsia="方正仿宋_GBK"/>
          <w:sz w:val="33"/>
          <w:szCs w:val="33"/>
        </w:rPr>
      </w:pPr>
      <w:r>
        <w:rPr>
          <w:rFonts w:eastAsia="方正仿宋_GBK"/>
          <w:sz w:val="33"/>
          <w:szCs w:val="33"/>
        </w:rPr>
        <w:t>（图7：“三公”经费财政拨款支出结构）（饼状图）</w:t>
      </w:r>
    </w:p>
    <w:p>
      <w:pPr>
        <w:pStyle w:val="20"/>
        <w:jc w:val="center"/>
        <w:outlineLvl w:val="9"/>
        <w:rPr>
          <w:rFonts w:eastAsia="仿宋"/>
        </w:rPr>
      </w:pPr>
      <w:r>
        <w:rPr>
          <w:rFonts w:hint="eastAsia" w:eastAsia="仿宋"/>
        </w:rPr>
        <w:drawing>
          <wp:inline distT="0" distB="0" distL="114300" distR="114300">
            <wp:extent cx="4192270" cy="1797685"/>
            <wp:effectExtent l="0" t="0" r="17780" b="50165"/>
            <wp:docPr id="1" name="图表 1" descr="7b0a202020202263686172745265734964223a2022323034373131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eastAsia="方正仿宋_GBK"/>
          <w:b/>
          <w:sz w:val="33"/>
          <w:szCs w:val="33"/>
        </w:rPr>
      </w:pPr>
      <w:r>
        <w:rPr>
          <w:rFonts w:eastAsia="方正仿宋_GBK"/>
          <w:b/>
          <w:sz w:val="33"/>
          <w:szCs w:val="33"/>
        </w:rPr>
        <w:t>1.因公出国（境）经费支出</w:t>
      </w:r>
      <w:r>
        <w:rPr>
          <w:rFonts w:eastAsia="方正仿宋_GBK"/>
          <w:sz w:val="33"/>
          <w:szCs w:val="33"/>
        </w:rPr>
        <w:t>0万元，</w:t>
      </w:r>
      <w:r>
        <w:rPr>
          <w:rStyle w:val="18"/>
          <w:rFonts w:eastAsia="方正仿宋_GBK"/>
          <w:b w:val="0"/>
          <w:bCs/>
          <w:sz w:val="33"/>
          <w:szCs w:val="33"/>
        </w:rPr>
        <w:t>完成预算</w:t>
      </w:r>
      <w:r>
        <w:rPr>
          <w:rFonts w:eastAsia="方正仿宋_GBK"/>
          <w:sz w:val="33"/>
          <w:szCs w:val="33"/>
        </w:rPr>
        <w:t>0</w:t>
      </w:r>
      <w:r>
        <w:rPr>
          <w:rStyle w:val="18"/>
          <w:rFonts w:eastAsia="方正仿宋_GBK"/>
          <w:b w:val="0"/>
          <w:bCs/>
          <w:sz w:val="33"/>
          <w:szCs w:val="33"/>
        </w:rPr>
        <w:t>%。</w:t>
      </w:r>
      <w:r>
        <w:rPr>
          <w:rFonts w:eastAsia="方正仿宋_GBK"/>
          <w:sz w:val="33"/>
          <w:szCs w:val="33"/>
        </w:rPr>
        <w:t>全年安排因公出国（境）团组0次，出国（境）0人。因公出国（境）支出决算比2022年增加/减少0万元，增长/下降0%。主要原因是无因公出国（境）支出。</w:t>
      </w:r>
    </w:p>
    <w:p>
      <w:pPr>
        <w:spacing w:line="600" w:lineRule="exact"/>
        <w:ind w:firstLine="640"/>
        <w:rPr>
          <w:rFonts w:eastAsia="方正仿宋_GBK"/>
          <w:b/>
          <w:sz w:val="33"/>
          <w:szCs w:val="33"/>
        </w:rPr>
      </w:pPr>
      <w:r>
        <w:rPr>
          <w:rFonts w:eastAsia="方正仿宋_GBK"/>
          <w:b/>
          <w:sz w:val="33"/>
          <w:szCs w:val="33"/>
        </w:rPr>
        <w:t>2.公务用车购置及运行维护费支出</w:t>
      </w:r>
      <w:r>
        <w:rPr>
          <w:rFonts w:eastAsia="方正仿宋_GBK"/>
          <w:sz w:val="33"/>
          <w:szCs w:val="33"/>
        </w:rPr>
        <w:t>24.49万元,</w:t>
      </w:r>
      <w:r>
        <w:rPr>
          <w:rStyle w:val="18"/>
          <w:rFonts w:eastAsia="方正仿宋_GBK"/>
          <w:b w:val="0"/>
          <w:bCs/>
          <w:sz w:val="33"/>
          <w:szCs w:val="33"/>
        </w:rPr>
        <w:t>完成预算</w:t>
      </w:r>
      <w:r>
        <w:rPr>
          <w:rFonts w:eastAsia="方正仿宋_GBK"/>
          <w:sz w:val="33"/>
          <w:szCs w:val="33"/>
        </w:rPr>
        <w:t>100</w:t>
      </w:r>
      <w:r>
        <w:rPr>
          <w:rStyle w:val="18"/>
          <w:rFonts w:eastAsia="方正仿宋_GBK"/>
          <w:b w:val="0"/>
          <w:bCs/>
          <w:sz w:val="33"/>
          <w:szCs w:val="33"/>
        </w:rPr>
        <w:t>%。</w:t>
      </w:r>
      <w:r>
        <w:rPr>
          <w:rFonts w:eastAsia="方正仿宋_GBK"/>
          <w:sz w:val="33"/>
          <w:szCs w:val="33"/>
        </w:rPr>
        <w:t>公务用车购置及运行维护费支出决算比2022年度减少4.41万元，下降15.26%。</w:t>
      </w:r>
      <w:r>
        <w:rPr>
          <w:rFonts w:hint="eastAsia" w:eastAsia="方正仿宋_GBK"/>
          <w:sz w:val="33"/>
          <w:szCs w:val="33"/>
          <w:lang w:val="en-US" w:eastAsia="zh-CN"/>
        </w:rPr>
        <w:t>主要原因是</w:t>
      </w:r>
      <w:r>
        <w:rPr>
          <w:rFonts w:eastAsia="方正仿宋_GBK"/>
          <w:sz w:val="33"/>
          <w:szCs w:val="33"/>
        </w:rPr>
        <w:t>公务用车支出减少。</w:t>
      </w:r>
    </w:p>
    <w:p>
      <w:pPr>
        <w:spacing w:line="600" w:lineRule="exact"/>
        <w:ind w:firstLine="660" w:firstLineChars="200"/>
        <w:rPr>
          <w:rFonts w:eastAsia="方正仿宋_GBK"/>
          <w:b/>
          <w:color w:val="FF0000"/>
          <w:sz w:val="33"/>
          <w:szCs w:val="33"/>
        </w:rPr>
      </w:pPr>
      <w:r>
        <w:rPr>
          <w:rFonts w:eastAsia="方正仿宋_GBK"/>
          <w:sz w:val="33"/>
          <w:szCs w:val="33"/>
        </w:rPr>
        <w:t>其中：</w:t>
      </w:r>
      <w:r>
        <w:rPr>
          <w:rFonts w:eastAsia="方正仿宋_GBK"/>
          <w:b/>
          <w:sz w:val="33"/>
          <w:szCs w:val="33"/>
        </w:rPr>
        <w:t>公务用车购置支出0</w:t>
      </w:r>
      <w:r>
        <w:rPr>
          <w:rFonts w:eastAsia="方正仿宋_GBK"/>
          <w:sz w:val="33"/>
          <w:szCs w:val="33"/>
        </w:rPr>
        <w:t>万元。全年按规定更新购置公务用车0辆，其中：轿车0辆、金额0万元，越野车0辆、金额0万元，载客汽车0辆、金额0万元</w:t>
      </w:r>
      <w:r>
        <w:rPr>
          <w:rFonts w:eastAsia="方正仿宋_GBK"/>
          <w:color w:val="000000" w:themeColor="text1"/>
          <w:sz w:val="33"/>
          <w:szCs w:val="33"/>
          <w14:textFill>
            <w14:solidFill>
              <w14:schemeClr w14:val="tx1"/>
            </w14:solidFill>
          </w14:textFill>
        </w:rPr>
        <w:t>。截至2023年12月31日，单位共有公务用车18辆，其中：轿车14辆、越野车4辆、载客汽车0辆。</w:t>
      </w:r>
    </w:p>
    <w:p>
      <w:pPr>
        <w:spacing w:line="600" w:lineRule="exact"/>
        <w:ind w:firstLine="640"/>
        <w:rPr>
          <w:rFonts w:eastAsia="方正仿宋_GBK"/>
          <w:sz w:val="33"/>
          <w:szCs w:val="33"/>
        </w:rPr>
      </w:pPr>
      <w:r>
        <w:rPr>
          <w:rFonts w:eastAsia="方正仿宋_GBK"/>
          <w:b/>
          <w:sz w:val="33"/>
          <w:szCs w:val="33"/>
        </w:rPr>
        <w:t>公务用车运行维护费支出</w:t>
      </w:r>
      <w:r>
        <w:rPr>
          <w:rFonts w:eastAsia="方正仿宋_GBK"/>
          <w:b/>
          <w:bCs w:val="0"/>
          <w:sz w:val="33"/>
          <w:szCs w:val="33"/>
        </w:rPr>
        <w:t>24.49</w:t>
      </w:r>
      <w:r>
        <w:rPr>
          <w:rFonts w:eastAsia="方正仿宋_GBK"/>
          <w:sz w:val="33"/>
          <w:szCs w:val="33"/>
        </w:rPr>
        <w:t>万元。</w:t>
      </w:r>
      <w:r>
        <w:rPr>
          <w:rFonts w:eastAsia="方正仿宋_GBK"/>
          <w:color w:val="000000"/>
          <w:kern w:val="0"/>
          <w:sz w:val="33"/>
          <w:szCs w:val="33"/>
        </w:rPr>
        <w:t>主要</w:t>
      </w:r>
      <w:r>
        <w:rPr>
          <w:rFonts w:eastAsia="方正仿宋_GBK"/>
          <w:sz w:val="33"/>
          <w:szCs w:val="33"/>
        </w:rPr>
        <w:t>用于参加开展监督检查、调研、办案等所需的</w:t>
      </w:r>
      <w:r>
        <w:rPr>
          <w:rFonts w:eastAsia="方正仿宋_GBK"/>
          <w:color w:val="000000"/>
          <w:kern w:val="0"/>
          <w:sz w:val="33"/>
          <w:szCs w:val="33"/>
        </w:rPr>
        <w:t>公务用车燃料费、维修费、过路过桥费、保险费等支出</w:t>
      </w:r>
      <w:r>
        <w:rPr>
          <w:rFonts w:eastAsia="方正仿宋_GBK"/>
          <w:sz w:val="33"/>
          <w:szCs w:val="33"/>
        </w:rPr>
        <w:t>。</w:t>
      </w:r>
    </w:p>
    <w:p>
      <w:pPr>
        <w:spacing w:line="600" w:lineRule="exact"/>
        <w:ind w:firstLine="640"/>
        <w:rPr>
          <w:rFonts w:eastAsia="方正仿宋_GBK"/>
          <w:sz w:val="33"/>
          <w:szCs w:val="33"/>
        </w:rPr>
      </w:pPr>
      <w:r>
        <w:rPr>
          <w:rFonts w:eastAsia="方正仿宋_GBK"/>
          <w:b/>
          <w:sz w:val="33"/>
          <w:szCs w:val="33"/>
        </w:rPr>
        <w:t>3.公务接待费支出</w:t>
      </w:r>
      <w:r>
        <w:rPr>
          <w:rFonts w:eastAsia="方正仿宋_GBK"/>
          <w:sz w:val="33"/>
          <w:szCs w:val="33"/>
        </w:rPr>
        <w:t>2.39万元，</w:t>
      </w:r>
      <w:r>
        <w:rPr>
          <w:rStyle w:val="18"/>
          <w:rFonts w:eastAsia="方正仿宋_GBK"/>
          <w:b w:val="0"/>
          <w:bCs/>
          <w:sz w:val="33"/>
          <w:szCs w:val="33"/>
        </w:rPr>
        <w:t>完成预算</w:t>
      </w:r>
      <w:r>
        <w:rPr>
          <w:rFonts w:eastAsia="方正仿宋_GBK"/>
          <w:sz w:val="33"/>
          <w:szCs w:val="33"/>
        </w:rPr>
        <w:t>95.46%</w:t>
      </w:r>
      <w:r>
        <w:rPr>
          <w:rStyle w:val="18"/>
          <w:rFonts w:eastAsia="方正仿宋_GBK"/>
          <w:b w:val="0"/>
          <w:bCs/>
          <w:sz w:val="33"/>
          <w:szCs w:val="33"/>
        </w:rPr>
        <w:t>。</w:t>
      </w:r>
      <w:r>
        <w:rPr>
          <w:rFonts w:eastAsia="方正仿宋_GBK"/>
          <w:sz w:val="33"/>
          <w:szCs w:val="33"/>
        </w:rPr>
        <w:t>公务接待费支出决算比2022年度增加0.37万元，增长18.32%。主要原因是上级部门</w:t>
      </w:r>
      <w:r>
        <w:rPr>
          <w:rFonts w:eastAsia="方正仿宋_GBK"/>
          <w:color w:val="000000"/>
          <w:sz w:val="33"/>
          <w:szCs w:val="33"/>
        </w:rPr>
        <w:t>来攀调研工作</w:t>
      </w:r>
      <w:r>
        <w:rPr>
          <w:rFonts w:eastAsia="方正仿宋_GBK"/>
          <w:sz w:val="33"/>
          <w:szCs w:val="33"/>
        </w:rPr>
        <w:t>、</w:t>
      </w:r>
      <w:r>
        <w:rPr>
          <w:rFonts w:eastAsia="方正仿宋_GBK"/>
          <w:color w:val="000000"/>
          <w:sz w:val="33"/>
          <w:szCs w:val="33"/>
        </w:rPr>
        <w:t>省内对口部门来攀对接工作，执行公务、开展业务活动相比2022年疫情期间增加，经费支出增加</w:t>
      </w:r>
      <w:r>
        <w:rPr>
          <w:rFonts w:eastAsia="方正仿宋_GBK"/>
          <w:sz w:val="33"/>
          <w:szCs w:val="33"/>
        </w:rPr>
        <w:t>。其中：</w:t>
      </w:r>
    </w:p>
    <w:p>
      <w:pPr>
        <w:spacing w:line="600" w:lineRule="exact"/>
        <w:ind w:firstLine="640"/>
        <w:rPr>
          <w:rFonts w:eastAsia="方正仿宋_GBK"/>
          <w:sz w:val="33"/>
          <w:szCs w:val="33"/>
        </w:rPr>
      </w:pPr>
      <w:bookmarkStart w:id="64" w:name="_Toc15377218"/>
      <w:bookmarkStart w:id="65" w:name="_Toc15396610"/>
      <w:r>
        <w:rPr>
          <w:rFonts w:eastAsia="方正仿宋_GBK"/>
          <w:b/>
          <w:sz w:val="33"/>
          <w:szCs w:val="33"/>
        </w:rPr>
        <w:t>国内公务接待支出2.39</w:t>
      </w:r>
      <w:r>
        <w:rPr>
          <w:rFonts w:eastAsia="方正仿宋_GBK"/>
          <w:sz w:val="33"/>
          <w:szCs w:val="33"/>
        </w:rPr>
        <w:t>万元，</w:t>
      </w:r>
      <w:r>
        <w:rPr>
          <w:rFonts w:eastAsia="方正仿宋_GBK"/>
          <w:kern w:val="0"/>
          <w:sz w:val="33"/>
          <w:szCs w:val="33"/>
        </w:rPr>
        <w:t>主要用于单位执行公务、开展业务活动开支的交通费、住宿费、用餐费等。</w:t>
      </w:r>
      <w:r>
        <w:rPr>
          <w:rFonts w:eastAsia="方正仿宋_GBK"/>
          <w:sz w:val="33"/>
          <w:szCs w:val="33"/>
        </w:rPr>
        <w:t>国内公务接待23批次，89人次（不包括陪同人员），共计支出2.39万元，具体内容包括：来自省、同级市州的检查、办案、交流、学习、调研等发生接待餐费2.39万元</w:t>
      </w:r>
    </w:p>
    <w:p>
      <w:pPr>
        <w:spacing w:line="600" w:lineRule="exact"/>
        <w:ind w:firstLine="640"/>
        <w:outlineLvl w:val="9"/>
        <w:rPr>
          <w:rFonts w:hint="eastAsia"/>
          <w:lang w:eastAsia="zh-CN"/>
        </w:rPr>
      </w:pPr>
      <w:r>
        <w:rPr>
          <w:rFonts w:eastAsia="方正仿宋_GBK"/>
          <w:b/>
          <w:sz w:val="33"/>
          <w:szCs w:val="33"/>
        </w:rPr>
        <w:t>外事接待支出0</w:t>
      </w:r>
      <w:r>
        <w:rPr>
          <w:rFonts w:eastAsia="方正仿宋_GBK"/>
          <w:sz w:val="33"/>
          <w:szCs w:val="33"/>
        </w:rPr>
        <w:t>万元，外事接待0批次，0人次（不包括陪同人员），共计支出0万元。</w:t>
      </w:r>
    </w:p>
    <w:p>
      <w:pPr>
        <w:spacing w:line="600" w:lineRule="exact"/>
        <w:ind w:firstLine="640"/>
        <w:outlineLvl w:val="1"/>
        <w:rPr>
          <w:rStyle w:val="30"/>
          <w:rFonts w:hint="eastAsia" w:ascii="黑体" w:hAnsi="黑体" w:eastAsia="黑体"/>
          <w:sz w:val="33"/>
          <w:szCs w:val="33"/>
        </w:rPr>
      </w:pPr>
      <w:bookmarkStart w:id="66" w:name="_Toc15332"/>
      <w:r>
        <w:rPr>
          <w:rFonts w:hint="eastAsia" w:ascii="黑体" w:eastAsia="黑体"/>
          <w:sz w:val="33"/>
          <w:szCs w:val="33"/>
        </w:rPr>
        <w:t>八、</w:t>
      </w:r>
      <w:r>
        <w:rPr>
          <w:rStyle w:val="30"/>
          <w:rFonts w:hint="eastAsia" w:ascii="黑体" w:hAnsi="黑体" w:eastAsia="黑体"/>
          <w:b w:val="0"/>
          <w:sz w:val="33"/>
          <w:szCs w:val="33"/>
        </w:rPr>
        <w:t>政府性基金预算支出决算情况说明</w:t>
      </w:r>
      <w:bookmarkEnd w:id="64"/>
      <w:bookmarkEnd w:id="65"/>
      <w:bookmarkEnd w:id="66"/>
    </w:p>
    <w:p>
      <w:pPr>
        <w:spacing w:line="600" w:lineRule="exact"/>
        <w:ind w:firstLine="640"/>
        <w:rPr>
          <w:rFonts w:ascii="方正仿宋_GB2312" w:eastAsia="方正仿宋_GB2312"/>
          <w:sz w:val="33"/>
          <w:szCs w:val="33"/>
        </w:rPr>
      </w:pPr>
      <w:r>
        <w:rPr>
          <w:rFonts w:eastAsia="方正仿宋_GBK"/>
          <w:sz w:val="33"/>
          <w:szCs w:val="33"/>
        </w:rPr>
        <w:t>2023年度政府性基金预算财政拨款支出0万元。</w:t>
      </w:r>
    </w:p>
    <w:p>
      <w:pPr>
        <w:numPr>
          <w:ilvl w:val="0"/>
          <w:numId w:val="2"/>
        </w:numPr>
        <w:spacing w:line="600" w:lineRule="exact"/>
        <w:ind w:firstLine="640"/>
        <w:outlineLvl w:val="1"/>
        <w:rPr>
          <w:rStyle w:val="30"/>
          <w:rFonts w:hint="eastAsia" w:ascii="黑体" w:hAnsi="黑体" w:eastAsia="黑体"/>
          <w:b w:val="0"/>
          <w:sz w:val="33"/>
          <w:szCs w:val="33"/>
        </w:rPr>
      </w:pPr>
      <w:bookmarkStart w:id="67" w:name="_Toc15377219"/>
      <w:bookmarkStart w:id="68" w:name="_Toc15396611"/>
      <w:bookmarkStart w:id="69" w:name="_Toc22608"/>
      <w:r>
        <w:rPr>
          <w:rStyle w:val="30"/>
          <w:rFonts w:hint="eastAsia" w:ascii="黑体" w:hAnsi="黑体" w:eastAsia="黑体"/>
          <w:b w:val="0"/>
          <w:sz w:val="33"/>
          <w:szCs w:val="33"/>
        </w:rPr>
        <w:t>国有资本经营预算支出决算情况说明</w:t>
      </w:r>
      <w:bookmarkEnd w:id="67"/>
      <w:bookmarkEnd w:id="68"/>
      <w:bookmarkEnd w:id="69"/>
    </w:p>
    <w:p>
      <w:pPr>
        <w:spacing w:line="600" w:lineRule="exact"/>
        <w:ind w:firstLine="640"/>
        <w:rPr>
          <w:rFonts w:hint="eastAsia" w:ascii="方正小标宋简体" w:hAnsi="方正小标宋简体" w:eastAsia="方正小标宋简体" w:cs="方正小标宋简体"/>
          <w:sz w:val="33"/>
          <w:szCs w:val="33"/>
        </w:rPr>
      </w:pPr>
      <w:r>
        <w:rPr>
          <w:rFonts w:eastAsia="方正仿宋_GBK"/>
          <w:sz w:val="33"/>
          <w:szCs w:val="33"/>
        </w:rPr>
        <w:t>2023年度国有资本经营预算财政拨款支出0万元。</w:t>
      </w:r>
    </w:p>
    <w:p>
      <w:pPr>
        <w:numPr>
          <w:ilvl w:val="0"/>
          <w:numId w:val="2"/>
        </w:numPr>
        <w:spacing w:line="600" w:lineRule="exact"/>
        <w:ind w:firstLine="640"/>
        <w:outlineLvl w:val="1"/>
        <w:rPr>
          <w:rStyle w:val="30"/>
          <w:rFonts w:hint="eastAsia" w:ascii="黑体" w:hAnsi="黑体" w:eastAsia="黑体"/>
          <w:b w:val="0"/>
          <w:sz w:val="33"/>
          <w:szCs w:val="33"/>
        </w:rPr>
      </w:pPr>
      <w:bookmarkStart w:id="70" w:name="_Toc10322"/>
      <w:bookmarkStart w:id="71" w:name="_Toc15377221"/>
      <w:bookmarkStart w:id="72" w:name="_Toc15396612"/>
      <w:r>
        <w:rPr>
          <w:rStyle w:val="30"/>
          <w:rFonts w:hint="eastAsia" w:ascii="黑体" w:hAnsi="黑体" w:eastAsia="黑体"/>
          <w:b w:val="0"/>
          <w:sz w:val="33"/>
          <w:szCs w:val="33"/>
        </w:rPr>
        <w:t>其他重要事项的情况说明</w:t>
      </w:r>
      <w:bookmarkEnd w:id="70"/>
      <w:bookmarkEnd w:id="71"/>
      <w:bookmarkEnd w:id="72"/>
    </w:p>
    <w:p>
      <w:pPr>
        <w:spacing w:line="600" w:lineRule="exact"/>
        <w:ind w:firstLine="663" w:firstLineChars="200"/>
        <w:outlineLvl w:val="9"/>
        <w:rPr>
          <w:rFonts w:hint="eastAsia" w:ascii="方正楷体_GBK" w:hAnsi="方正楷体_GBK" w:eastAsia="方正楷体_GBK" w:cs="方正楷体_GBK"/>
          <w:sz w:val="33"/>
          <w:szCs w:val="33"/>
        </w:rPr>
      </w:pPr>
      <w:bookmarkStart w:id="73" w:name="_Toc15377222"/>
      <w:r>
        <w:rPr>
          <w:rFonts w:hint="eastAsia" w:ascii="方正楷体_GBK" w:hAnsi="方正楷体_GBK" w:eastAsia="方正楷体_GBK" w:cs="方正楷体_GBK"/>
          <w:b/>
          <w:sz w:val="33"/>
          <w:szCs w:val="33"/>
        </w:rPr>
        <w:t>（一）机关运行经费支出情况</w:t>
      </w:r>
      <w:bookmarkEnd w:id="73"/>
    </w:p>
    <w:p>
      <w:pPr>
        <w:spacing w:line="600" w:lineRule="exact"/>
        <w:ind w:firstLine="660" w:firstLineChars="200"/>
        <w:rPr>
          <w:rFonts w:eastAsia="方正仿宋_GBK"/>
          <w:sz w:val="33"/>
          <w:szCs w:val="33"/>
        </w:rPr>
      </w:pPr>
      <w:r>
        <w:rPr>
          <w:rFonts w:eastAsia="方正仿宋_GBK"/>
          <w:sz w:val="33"/>
          <w:szCs w:val="33"/>
        </w:rPr>
        <w:t>2023年度，</w:t>
      </w:r>
      <w:r>
        <w:rPr>
          <w:rFonts w:eastAsia="方正仿宋_GBK"/>
          <w:b/>
          <w:sz w:val="33"/>
          <w:szCs w:val="33"/>
        </w:rPr>
        <w:t>攀枝花市纪委监委</w:t>
      </w:r>
      <w:r>
        <w:rPr>
          <w:rFonts w:eastAsia="方正仿宋_GBK"/>
          <w:sz w:val="33"/>
          <w:szCs w:val="33"/>
        </w:rPr>
        <w:t>机关运行经费支出</w:t>
      </w:r>
      <w:r>
        <w:rPr>
          <w:rFonts w:eastAsia="方正仿宋_GBK"/>
          <w:b/>
          <w:sz w:val="33"/>
          <w:szCs w:val="33"/>
        </w:rPr>
        <w:t>300.84</w:t>
      </w:r>
      <w:r>
        <w:rPr>
          <w:rFonts w:eastAsia="方正仿宋_GBK"/>
          <w:sz w:val="33"/>
          <w:szCs w:val="33"/>
        </w:rPr>
        <w:t>万元，比2022年度增加82.6万元，增长37.85%。主要原因是所需保障机关正常运行支出增加。</w:t>
      </w:r>
    </w:p>
    <w:p>
      <w:pPr>
        <w:autoSpaceDE w:val="0"/>
        <w:autoSpaceDN w:val="0"/>
        <w:adjustRightInd w:val="0"/>
        <w:spacing w:line="600" w:lineRule="exact"/>
        <w:ind w:firstLine="663" w:firstLineChars="200"/>
        <w:jc w:val="left"/>
        <w:outlineLvl w:val="9"/>
        <w:rPr>
          <w:rFonts w:hint="eastAsia" w:ascii="方正楷体_GBK" w:hAnsi="方正楷体_GBK" w:eastAsia="方正楷体_GBK" w:cs="方正楷体_GBK"/>
          <w:b/>
          <w:sz w:val="33"/>
          <w:szCs w:val="33"/>
        </w:rPr>
      </w:pPr>
      <w:bookmarkStart w:id="74" w:name="_Toc15377223"/>
      <w:r>
        <w:rPr>
          <w:rFonts w:hint="eastAsia" w:ascii="方正楷体_GBK" w:hAnsi="方正楷体_GBK" w:eastAsia="方正楷体_GBK" w:cs="方正楷体_GBK"/>
          <w:b/>
          <w:sz w:val="33"/>
          <w:szCs w:val="33"/>
        </w:rPr>
        <w:t>（二）政府采购支出情况</w:t>
      </w:r>
      <w:bookmarkEnd w:id="74"/>
    </w:p>
    <w:p>
      <w:pPr>
        <w:spacing w:line="600" w:lineRule="exact"/>
        <w:ind w:firstLine="660" w:firstLineChars="200"/>
        <w:rPr>
          <w:rFonts w:eastAsia="方正仿宋_GBK"/>
          <w:sz w:val="33"/>
          <w:szCs w:val="33"/>
        </w:rPr>
      </w:pPr>
      <w:r>
        <w:rPr>
          <w:rFonts w:eastAsia="方正仿宋_GBK"/>
          <w:sz w:val="33"/>
          <w:szCs w:val="33"/>
        </w:rPr>
        <w:t>2023年度，</w:t>
      </w:r>
      <w:r>
        <w:rPr>
          <w:rFonts w:eastAsia="方正仿宋_GBK"/>
          <w:b/>
          <w:bCs/>
          <w:sz w:val="33"/>
          <w:szCs w:val="33"/>
        </w:rPr>
        <w:t>攀枝花市纪委监委</w:t>
      </w:r>
      <w:r>
        <w:rPr>
          <w:rFonts w:eastAsia="方正仿宋_GBK"/>
          <w:sz w:val="33"/>
          <w:szCs w:val="33"/>
        </w:rPr>
        <w:t>政府采购支出总额0.79万元，其中：政府采购货物支出0.79万元、政府采购工程支出0万元、政府采购服务支出0万元。主要用于购买所需办公设备。授予中小企业合同金额0万元，占政府采购支出总额的0%，其中：授予小微企业合同金额0万元，占政府采购支出总额的0%。</w:t>
      </w:r>
    </w:p>
    <w:p>
      <w:pPr>
        <w:autoSpaceDE w:val="0"/>
        <w:autoSpaceDN w:val="0"/>
        <w:adjustRightInd w:val="0"/>
        <w:spacing w:line="600" w:lineRule="exact"/>
        <w:ind w:firstLine="663" w:firstLineChars="200"/>
        <w:jc w:val="left"/>
        <w:outlineLvl w:val="9"/>
        <w:rPr>
          <w:rFonts w:hint="eastAsia" w:ascii="方正楷体_GBK" w:hAnsi="方正楷体_GBK" w:eastAsia="方正楷体_GBK" w:cs="方正楷体_GBK"/>
          <w:b/>
          <w:sz w:val="33"/>
          <w:szCs w:val="33"/>
        </w:rPr>
      </w:pPr>
      <w:bookmarkStart w:id="75" w:name="_Toc15377224"/>
      <w:r>
        <w:rPr>
          <w:rFonts w:hint="eastAsia" w:ascii="方正楷体_GBK" w:hAnsi="方正楷体_GBK" w:eastAsia="方正楷体_GBK" w:cs="方正楷体_GBK"/>
          <w:b/>
          <w:sz w:val="33"/>
          <w:szCs w:val="33"/>
        </w:rPr>
        <w:t>（三）国有资产占有使用情况</w:t>
      </w:r>
      <w:bookmarkEnd w:id="75"/>
    </w:p>
    <w:p>
      <w:pPr>
        <w:autoSpaceDE w:val="0"/>
        <w:autoSpaceDN w:val="0"/>
        <w:adjustRightInd w:val="0"/>
        <w:spacing w:line="600" w:lineRule="exact"/>
        <w:ind w:firstLine="660" w:firstLineChars="200"/>
        <w:jc w:val="left"/>
        <w:outlineLvl w:val="9"/>
        <w:rPr>
          <w:rFonts w:eastAsia="方正仿宋_GBK"/>
          <w:sz w:val="33"/>
          <w:szCs w:val="33"/>
        </w:rPr>
      </w:pPr>
      <w:r>
        <w:rPr>
          <w:rFonts w:eastAsia="方正仿宋_GBK"/>
          <w:sz w:val="33"/>
          <w:szCs w:val="33"/>
        </w:rPr>
        <w:t>截至2023年12月31日，</w:t>
      </w:r>
      <w:r>
        <w:rPr>
          <w:rFonts w:hint="eastAsia" w:eastAsia="方正仿宋_GBK"/>
          <w:b/>
          <w:sz w:val="33"/>
          <w:szCs w:val="33"/>
        </w:rPr>
        <w:t>攀枝花市纪委监委</w:t>
      </w:r>
      <w:r>
        <w:rPr>
          <w:rFonts w:eastAsia="方正仿宋_GBK"/>
          <w:sz w:val="33"/>
          <w:szCs w:val="33"/>
        </w:rPr>
        <w:t>共有车辆</w:t>
      </w:r>
      <w:r>
        <w:rPr>
          <w:rFonts w:eastAsia="方正仿宋_GBK"/>
          <w:b/>
          <w:sz w:val="33"/>
          <w:szCs w:val="33"/>
        </w:rPr>
        <w:t>18</w:t>
      </w:r>
      <w:r>
        <w:rPr>
          <w:rFonts w:eastAsia="方正仿宋_GBK"/>
          <w:sz w:val="33"/>
          <w:szCs w:val="33"/>
        </w:rPr>
        <w:t>辆，其中：主要领导干部用车0辆、机要通信用车0辆、应急保障用车0辆、</w:t>
      </w:r>
      <w:r>
        <w:rPr>
          <w:rFonts w:eastAsia="方正仿宋_GBK"/>
          <w:color w:val="000000"/>
          <w:kern w:val="0"/>
          <w:sz w:val="33"/>
          <w:szCs w:val="33"/>
        </w:rPr>
        <w:t>执法执勤车16辆、</w:t>
      </w:r>
      <w:r>
        <w:rPr>
          <w:rFonts w:eastAsia="方正仿宋_GBK"/>
          <w:sz w:val="33"/>
          <w:szCs w:val="33"/>
        </w:rPr>
        <w:t>其他用车2辆，其他用车主要是用于案件办理、走访调研、监督检查工作等。单价100万元以上设备（不含车辆）</w:t>
      </w:r>
      <w:r>
        <w:rPr>
          <w:rFonts w:eastAsia="方正仿宋_GBK"/>
          <w:b/>
          <w:sz w:val="33"/>
          <w:szCs w:val="33"/>
        </w:rPr>
        <w:t>0</w:t>
      </w:r>
      <w:r>
        <w:rPr>
          <w:rFonts w:eastAsia="方正仿宋_GBK"/>
          <w:sz w:val="33"/>
          <w:szCs w:val="33"/>
        </w:rPr>
        <w:t>台（套）。</w:t>
      </w:r>
    </w:p>
    <w:p>
      <w:pPr>
        <w:autoSpaceDE w:val="0"/>
        <w:autoSpaceDN w:val="0"/>
        <w:adjustRightInd w:val="0"/>
        <w:spacing w:line="600" w:lineRule="exact"/>
        <w:ind w:firstLine="663" w:firstLineChars="200"/>
        <w:jc w:val="left"/>
        <w:outlineLvl w:val="9"/>
        <w:rPr>
          <w:rFonts w:hint="eastAsia" w:ascii="方正楷体_GBK" w:hAnsi="方正楷体_GBK" w:eastAsia="方正楷体_GBK" w:cs="方正楷体_GBK"/>
          <w:b/>
          <w:sz w:val="33"/>
          <w:szCs w:val="33"/>
        </w:rPr>
      </w:pPr>
      <w:r>
        <w:rPr>
          <w:rFonts w:hint="eastAsia" w:ascii="方正楷体_GBK" w:hAnsi="方正楷体_GBK" w:eastAsia="方正楷体_GBK" w:cs="方正楷体_GBK"/>
          <w:b/>
          <w:sz w:val="33"/>
          <w:szCs w:val="33"/>
        </w:rPr>
        <w:t>（四）预算绩效管理情况</w:t>
      </w:r>
    </w:p>
    <w:p>
      <w:pPr>
        <w:spacing w:line="58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根据预算绩效管理要求，本部门在2023年度预算编制阶段，组织对监委工作经费、市委巡察工作经费等</w:t>
      </w:r>
      <w:r>
        <w:rPr>
          <w:rFonts w:hint="default" w:ascii="Times New Roman" w:hAnsi="Times New Roman" w:eastAsia="方正仿宋_GBK" w:cs="Times New Roman"/>
          <w:sz w:val="33"/>
          <w:szCs w:val="33"/>
          <w:lang w:val="en-US" w:eastAsia="zh-CN"/>
        </w:rPr>
        <w:t>15</w:t>
      </w:r>
      <w:r>
        <w:rPr>
          <w:rFonts w:hint="default" w:ascii="Times New Roman" w:hAnsi="Times New Roman" w:eastAsia="方正仿宋_GBK" w:cs="Times New Roman"/>
          <w:sz w:val="33"/>
          <w:szCs w:val="33"/>
        </w:rPr>
        <w:t>个项目开展了预算事前绩效评估，对</w:t>
      </w:r>
      <w:r>
        <w:rPr>
          <w:rFonts w:hint="default" w:ascii="Times New Roman" w:hAnsi="Times New Roman" w:eastAsia="方正仿宋_GBK" w:cs="Times New Roman"/>
          <w:sz w:val="33"/>
          <w:szCs w:val="33"/>
          <w:lang w:val="en-US" w:eastAsia="zh-CN"/>
        </w:rPr>
        <w:t>15</w:t>
      </w:r>
      <w:r>
        <w:rPr>
          <w:rFonts w:hint="default" w:ascii="Times New Roman" w:hAnsi="Times New Roman" w:eastAsia="方正仿宋_GBK" w:cs="Times New Roman"/>
          <w:sz w:val="33"/>
          <w:szCs w:val="33"/>
        </w:rPr>
        <w:t>个项目编制了绩效目标，预算执行过程中，选取</w:t>
      </w:r>
      <w:r>
        <w:rPr>
          <w:rFonts w:hint="default" w:ascii="Times New Roman" w:hAnsi="Times New Roman" w:eastAsia="方正仿宋_GBK" w:cs="Times New Roman"/>
          <w:sz w:val="33"/>
          <w:szCs w:val="33"/>
          <w:lang w:val="en-US" w:eastAsia="zh-CN"/>
        </w:rPr>
        <w:t>15</w:t>
      </w:r>
      <w:r>
        <w:rPr>
          <w:rFonts w:hint="default" w:ascii="Times New Roman" w:hAnsi="Times New Roman" w:eastAsia="方正仿宋_GBK" w:cs="Times New Roman"/>
          <w:sz w:val="33"/>
          <w:szCs w:val="33"/>
        </w:rPr>
        <w:t>个项目开展绩效监控。</w:t>
      </w:r>
    </w:p>
    <w:p>
      <w:pPr>
        <w:spacing w:line="580" w:lineRule="exact"/>
        <w:ind w:firstLine="660" w:firstLineChars="200"/>
      </w:pPr>
      <w:r>
        <w:rPr>
          <w:rFonts w:hint="default" w:ascii="Times New Roman" w:hAnsi="Times New Roman" w:eastAsia="方正仿宋_GBK" w:cs="Times New Roman"/>
          <w:sz w:val="33"/>
          <w:szCs w:val="33"/>
        </w:rPr>
        <w:t>组织对2023年度一般公共预算、政府性基金预算、国有资本经营预算、社会保险基金预算以及资本资产、债券资金等全面开展绩效自评，形成攀枝花市纪委监委部门整体（含部门预算项目）绩效自评报告。其中，攀枝花市纪委监委部门整体（含部门预算项目）绩效自评得分为92分</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绩效自评综述：2023年度，攀枝花市纪委监委认真贯彻落实党中央精神要求，切实履行绩效管理的主体责任，按照预算绩效管理一体化的要求，努力将绩效管理融入预算编制、预算执行、预算监督全过程。通过开展事前绩效评估、事中监督管理、事后分析整改，严格绩效目标管理，强化绩效运行监控，完善绩效自评机制，拓宽结果应用范围等方式，并结合纪检监察工作实际，加强资产配置管理，强化预算支出的责任和效率，严格控制行政运行成本，持续提升财政资金的使用效益。绩效自评报告详见附件（第四部分）。</w:t>
      </w:r>
    </w:p>
    <w:p>
      <w:pPr>
        <w:pStyle w:val="4"/>
        <w:jc w:val="center"/>
        <w:rPr>
          <w:rFonts w:hint="eastAsia" w:ascii="黑体" w:hAnsi="黑体" w:eastAsia="黑体" w:cs="黑体"/>
          <w:b w:val="0"/>
          <w:bCs w:val="0"/>
          <w:strike w:val="0"/>
          <w:dstrike w:val="0"/>
          <w:sz w:val="44"/>
          <w:szCs w:val="44"/>
        </w:rPr>
      </w:pPr>
      <w:bookmarkStart w:id="76" w:name="_Toc6636"/>
      <w:r>
        <w:rPr>
          <w:rFonts w:hint="eastAsia" w:ascii="黑体" w:hAnsi="黑体" w:eastAsia="黑体" w:cs="黑体"/>
          <w:b w:val="0"/>
          <w:bCs w:val="0"/>
          <w:strike w:val="0"/>
          <w:dstrike w:val="0"/>
          <w:sz w:val="44"/>
          <w:szCs w:val="44"/>
        </w:rPr>
        <w:t>第三部分 名词解释</w:t>
      </w:r>
      <w:bookmarkEnd w:id="76"/>
    </w:p>
    <w:p>
      <w:pPr>
        <w:spacing w:line="576" w:lineRule="exact"/>
        <w:ind w:firstLine="640"/>
        <w:rPr>
          <w:rFonts w:eastAsia="方正仿宋_GBK"/>
          <w:sz w:val="33"/>
          <w:szCs w:val="33"/>
        </w:rPr>
      </w:pPr>
      <w:r>
        <w:rPr>
          <w:rFonts w:eastAsia="方正仿宋_GBK"/>
          <w:sz w:val="33"/>
          <w:szCs w:val="33"/>
        </w:rPr>
        <w:t>1．财政拨款收入：指单位从同级财政部门取得的财政预算资金。</w:t>
      </w:r>
    </w:p>
    <w:p>
      <w:pPr>
        <w:spacing w:line="576" w:lineRule="exact"/>
        <w:ind w:firstLine="640"/>
        <w:rPr>
          <w:rFonts w:eastAsia="方正仿宋_GBK"/>
          <w:sz w:val="33"/>
          <w:szCs w:val="33"/>
        </w:rPr>
      </w:pPr>
      <w:r>
        <w:rPr>
          <w:rFonts w:eastAsia="方正仿宋_GBK"/>
          <w:sz w:val="33"/>
          <w:szCs w:val="33"/>
        </w:rPr>
        <w:t>2．经营收入：指事业单位在专业业务活动及其辅助活动之外开展非独立核算经营活动取得的收入。</w:t>
      </w:r>
    </w:p>
    <w:p>
      <w:pPr>
        <w:spacing w:line="576" w:lineRule="exact"/>
        <w:ind w:firstLine="640"/>
        <w:rPr>
          <w:rFonts w:eastAsia="方正仿宋_GBK"/>
          <w:sz w:val="33"/>
          <w:szCs w:val="33"/>
        </w:rPr>
      </w:pPr>
      <w:r>
        <w:rPr>
          <w:rFonts w:eastAsia="方正仿宋_GBK"/>
          <w:sz w:val="33"/>
          <w:szCs w:val="33"/>
        </w:rPr>
        <w:t>3．其他收入：指单位取得的除上述收入以外的各项收入。主要是单位的存款利息收入等。</w:t>
      </w:r>
    </w:p>
    <w:p>
      <w:pPr>
        <w:spacing w:line="576" w:lineRule="exact"/>
        <w:ind w:firstLine="640"/>
        <w:rPr>
          <w:rFonts w:eastAsia="方正仿宋_GBK"/>
          <w:sz w:val="33"/>
          <w:szCs w:val="33"/>
        </w:rPr>
      </w:pPr>
      <w:r>
        <w:rPr>
          <w:rFonts w:eastAsia="方正仿宋_GBK"/>
          <w:sz w:val="33"/>
          <w:szCs w:val="33"/>
        </w:rPr>
        <w:t>4．年初结转和结余：指以前年度尚未完成、结转到本年按有关规定继续使用的资金。</w:t>
      </w:r>
    </w:p>
    <w:p>
      <w:pPr>
        <w:spacing w:line="576" w:lineRule="exact"/>
        <w:ind w:firstLine="640"/>
        <w:rPr>
          <w:rFonts w:eastAsia="方正仿宋_GBK"/>
          <w:sz w:val="33"/>
          <w:szCs w:val="33"/>
        </w:rPr>
      </w:pPr>
      <w:r>
        <w:rPr>
          <w:rFonts w:eastAsia="方正仿宋_GBK"/>
          <w:sz w:val="33"/>
          <w:szCs w:val="33"/>
        </w:rPr>
        <w:t>5．年末结转和结余：指单位按有关规定结转到下年或以后年度继续使用的资金。</w:t>
      </w:r>
    </w:p>
    <w:p>
      <w:pPr>
        <w:spacing w:line="576" w:lineRule="exact"/>
        <w:ind w:firstLine="640"/>
        <w:rPr>
          <w:rFonts w:eastAsia="方正仿宋_GBK"/>
          <w:sz w:val="33"/>
          <w:szCs w:val="33"/>
        </w:rPr>
      </w:pPr>
      <w:r>
        <w:rPr>
          <w:rFonts w:eastAsia="方正仿宋_GBK"/>
          <w:sz w:val="33"/>
          <w:szCs w:val="33"/>
        </w:rPr>
        <w:t>6．一般公共服务一般公共服务（类）纪检监察事务（款）行政运行（项）：指用于机机关职工基本工资、津贴补贴等人员经费的发放，以及行政单位的基本支出。</w:t>
      </w:r>
    </w:p>
    <w:p>
      <w:pPr>
        <w:spacing w:line="576" w:lineRule="exact"/>
        <w:ind w:firstLine="640"/>
        <w:rPr>
          <w:rFonts w:eastAsia="方正仿宋_GBK"/>
          <w:sz w:val="33"/>
          <w:szCs w:val="33"/>
        </w:rPr>
      </w:pPr>
      <w:r>
        <w:rPr>
          <w:rFonts w:eastAsia="方正仿宋_GBK"/>
          <w:sz w:val="33"/>
          <w:szCs w:val="33"/>
        </w:rPr>
        <w:t>7．一般公共服务（类）纪检监察事务（款）一般行政管理事务（项）：指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76" w:lineRule="exact"/>
        <w:ind w:firstLine="640"/>
        <w:rPr>
          <w:rFonts w:eastAsia="方正仿宋_GBK"/>
          <w:sz w:val="33"/>
          <w:szCs w:val="33"/>
        </w:rPr>
      </w:pPr>
      <w:r>
        <w:rPr>
          <w:rFonts w:eastAsia="方正仿宋_GBK"/>
          <w:sz w:val="33"/>
          <w:szCs w:val="33"/>
        </w:rPr>
        <w:t>8．一般公共服务（类）纪检监察事务（款）其他纪检监察事务支出（项）：指其他纪检监察事务方面的支出。</w:t>
      </w:r>
    </w:p>
    <w:p>
      <w:pPr>
        <w:spacing w:line="576" w:lineRule="exact"/>
        <w:ind w:firstLine="640"/>
        <w:rPr>
          <w:rFonts w:eastAsia="方正仿宋_GBK"/>
          <w:sz w:val="33"/>
          <w:szCs w:val="33"/>
        </w:rPr>
      </w:pPr>
      <w:r>
        <w:rPr>
          <w:rFonts w:eastAsia="方正仿宋_GBK"/>
          <w:sz w:val="33"/>
          <w:szCs w:val="33"/>
        </w:rPr>
        <w:t>9．一般公共服务（类）组织事务（款）其他组织事务支出（项）：指市级挂职干部人才补助经费。</w:t>
      </w:r>
    </w:p>
    <w:p>
      <w:pPr>
        <w:spacing w:line="576" w:lineRule="exact"/>
        <w:ind w:firstLine="640"/>
        <w:rPr>
          <w:rFonts w:eastAsia="方正仿宋_GBK"/>
          <w:sz w:val="33"/>
          <w:szCs w:val="33"/>
        </w:rPr>
      </w:pPr>
      <w:r>
        <w:rPr>
          <w:rFonts w:eastAsia="方正仿宋_GBK"/>
          <w:sz w:val="33"/>
          <w:szCs w:val="33"/>
        </w:rPr>
        <w:t>10．社会保障和就业（类）行政事业单位养老支出（款）行政单位离退休（项）：指离退休人员的离退休费及公用经费。</w:t>
      </w:r>
    </w:p>
    <w:p>
      <w:pPr>
        <w:spacing w:line="576" w:lineRule="exact"/>
        <w:ind w:firstLine="640"/>
        <w:rPr>
          <w:rFonts w:eastAsia="方正仿宋_GBK"/>
          <w:sz w:val="33"/>
          <w:szCs w:val="33"/>
        </w:rPr>
      </w:pPr>
      <w:r>
        <w:rPr>
          <w:rFonts w:eastAsia="方正仿宋_GBK"/>
          <w:sz w:val="33"/>
          <w:szCs w:val="33"/>
        </w:rPr>
        <w:t>11．社会保障和就业（类）行政事业单位离退休（款）机关事业单位基本养老保险缴费支出（项）：指机关事业单位并轨后基本养老保险缴费支出。</w:t>
      </w:r>
    </w:p>
    <w:p>
      <w:pPr>
        <w:spacing w:line="576" w:lineRule="exact"/>
        <w:ind w:firstLine="640"/>
        <w:rPr>
          <w:rFonts w:eastAsia="方正仿宋_GBK"/>
          <w:sz w:val="33"/>
          <w:szCs w:val="33"/>
        </w:rPr>
      </w:pPr>
      <w:r>
        <w:rPr>
          <w:rFonts w:eastAsia="方正仿宋_GBK"/>
          <w:sz w:val="33"/>
          <w:szCs w:val="33"/>
        </w:rPr>
        <w:t>12．社会保障和就业（类）人力资源和社会保障管理事务（款）其他人力资源和社会保障管理事务支出（项）：指其他用于人力资源和社会保障管理事务方面的支出。</w:t>
      </w:r>
    </w:p>
    <w:p>
      <w:pPr>
        <w:spacing w:line="576" w:lineRule="exact"/>
        <w:ind w:firstLine="640"/>
        <w:rPr>
          <w:rFonts w:eastAsia="方正仿宋_GBK"/>
          <w:sz w:val="33"/>
          <w:szCs w:val="33"/>
        </w:rPr>
      </w:pPr>
      <w:r>
        <w:rPr>
          <w:rFonts w:eastAsia="方正仿宋_GBK"/>
          <w:sz w:val="33"/>
          <w:szCs w:val="33"/>
        </w:rPr>
        <w:t>13．社会保障和就业（类）社会福利（款）儿童福利（项）：指关工委关心下一代专项资金。</w:t>
      </w:r>
    </w:p>
    <w:p>
      <w:pPr>
        <w:spacing w:line="576" w:lineRule="exact"/>
        <w:ind w:firstLine="640"/>
        <w:rPr>
          <w:rFonts w:eastAsia="方正仿宋_GBK"/>
          <w:sz w:val="33"/>
          <w:szCs w:val="33"/>
        </w:rPr>
      </w:pPr>
      <w:r>
        <w:rPr>
          <w:rFonts w:eastAsia="方正仿宋_GBK"/>
          <w:sz w:val="33"/>
          <w:szCs w:val="33"/>
        </w:rPr>
        <w:t>14．卫生健康支出（类）行政事业单位医疗（款）其他行政事业单位医疗支出（项）：指单位职工其他医疗保障支出。</w:t>
      </w:r>
    </w:p>
    <w:p>
      <w:pPr>
        <w:spacing w:line="576" w:lineRule="exact"/>
        <w:ind w:firstLine="640"/>
        <w:rPr>
          <w:rFonts w:eastAsia="方正仿宋_GBK"/>
          <w:sz w:val="33"/>
          <w:szCs w:val="33"/>
        </w:rPr>
      </w:pPr>
      <w:r>
        <w:rPr>
          <w:rFonts w:eastAsia="方正仿宋_GBK"/>
          <w:sz w:val="33"/>
          <w:szCs w:val="33"/>
        </w:rPr>
        <w:t>15．卫生健康支出（类）其他卫生健康支出（款）其他卫生健康支出（项）：指其他用于卫生健康方面的支出</w:t>
      </w:r>
    </w:p>
    <w:p>
      <w:pPr>
        <w:spacing w:line="576" w:lineRule="exact"/>
        <w:ind w:firstLine="660" w:firstLineChars="200"/>
        <w:rPr>
          <w:rFonts w:eastAsia="方正仿宋_GBK"/>
          <w:sz w:val="33"/>
          <w:szCs w:val="33"/>
        </w:rPr>
      </w:pPr>
      <w:r>
        <w:rPr>
          <w:rFonts w:eastAsia="方正仿宋_GBK"/>
          <w:sz w:val="33"/>
          <w:szCs w:val="33"/>
        </w:rPr>
        <w:t>16．住房保障支出（类）住房改革支出（款）住房公积金（项）：指职工住房公积金支出。</w:t>
      </w:r>
    </w:p>
    <w:p>
      <w:pPr>
        <w:spacing w:line="576" w:lineRule="exact"/>
        <w:ind w:firstLine="660" w:firstLineChars="200"/>
        <w:rPr>
          <w:rFonts w:eastAsia="方正仿宋_GBK"/>
          <w:sz w:val="33"/>
          <w:szCs w:val="33"/>
        </w:rPr>
      </w:pPr>
      <w:r>
        <w:rPr>
          <w:rFonts w:eastAsia="方正仿宋_GBK"/>
          <w:sz w:val="33"/>
          <w:szCs w:val="33"/>
        </w:rPr>
        <w:t>17．城乡社区支出（类）城乡社区公共设施（款）其他城乡社区公共设施支出（项）：指其他用于城乡社区公共设施方面的支出。</w:t>
      </w:r>
    </w:p>
    <w:p>
      <w:pPr>
        <w:spacing w:line="576" w:lineRule="exact"/>
        <w:ind w:firstLine="660" w:firstLineChars="200"/>
        <w:rPr>
          <w:rFonts w:eastAsia="方正仿宋_GBK"/>
          <w:sz w:val="33"/>
          <w:szCs w:val="33"/>
        </w:rPr>
      </w:pPr>
      <w:r>
        <w:rPr>
          <w:rFonts w:eastAsia="方正仿宋_GBK"/>
          <w:sz w:val="33"/>
          <w:szCs w:val="33"/>
        </w:rPr>
        <w:t>18．农林水支出（类）农业农村（款）其他农业农村支出（项）：指其他用于农业农村方面的支出。</w:t>
      </w:r>
    </w:p>
    <w:p>
      <w:pPr>
        <w:spacing w:line="576" w:lineRule="exact"/>
        <w:ind w:firstLine="640"/>
        <w:rPr>
          <w:rFonts w:eastAsia="方正仿宋_GBK"/>
          <w:sz w:val="33"/>
          <w:szCs w:val="33"/>
        </w:rPr>
      </w:pPr>
      <w:r>
        <w:rPr>
          <w:rFonts w:eastAsia="方正仿宋_GBK"/>
          <w:sz w:val="33"/>
          <w:szCs w:val="33"/>
        </w:rPr>
        <w:t>19．基本支出：指为保障机构正常运转、完成日常工作任务而发生的人员支出和公用支出。</w:t>
      </w:r>
    </w:p>
    <w:p>
      <w:pPr>
        <w:spacing w:line="576" w:lineRule="exact"/>
        <w:ind w:firstLine="640"/>
        <w:rPr>
          <w:rFonts w:eastAsia="方正仿宋_GBK"/>
          <w:sz w:val="33"/>
          <w:szCs w:val="33"/>
        </w:rPr>
      </w:pPr>
      <w:r>
        <w:rPr>
          <w:rFonts w:eastAsia="方正仿宋_GBK"/>
          <w:sz w:val="33"/>
          <w:szCs w:val="33"/>
        </w:rPr>
        <w:t xml:space="preserve">20．项目支出：指在基本支出之外为完成特定行政任务和事业发展目标所发生的支出。 </w:t>
      </w:r>
    </w:p>
    <w:p>
      <w:pPr>
        <w:spacing w:line="576" w:lineRule="exact"/>
        <w:ind w:firstLine="640"/>
        <w:rPr>
          <w:rFonts w:eastAsia="方正仿宋_GBK"/>
          <w:sz w:val="33"/>
          <w:szCs w:val="33"/>
        </w:rPr>
      </w:pPr>
      <w:r>
        <w:rPr>
          <w:rFonts w:eastAsia="方正仿宋_GBK"/>
          <w:sz w:val="33"/>
          <w:szCs w:val="33"/>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60" w:firstLineChars="200"/>
        <w:jc w:val="left"/>
        <w:rPr>
          <w:rFonts w:eastAsia="方正仿宋_GBK"/>
          <w:sz w:val="33"/>
          <w:szCs w:val="33"/>
        </w:rPr>
      </w:pPr>
      <w:r>
        <w:rPr>
          <w:rFonts w:eastAsia="方正仿宋_GBK"/>
          <w:sz w:val="33"/>
          <w:szCs w:val="33"/>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eastAsia="方正仿宋_GBK"/>
          <w:sz w:val="32"/>
          <w:szCs w:val="32"/>
        </w:rPr>
      </w:pPr>
      <w:r>
        <w:rPr>
          <w:rFonts w:hint="eastAsia" w:eastAsia="方正仿宋_GBK"/>
          <w:sz w:val="32"/>
          <w:szCs w:val="32"/>
        </w:rPr>
        <w:t>23</w:t>
      </w:r>
      <w:r>
        <w:rPr>
          <w:rFonts w:eastAsia="方正仿宋_GBK"/>
          <w:sz w:val="33"/>
          <w:szCs w:val="33"/>
        </w:rPr>
        <w:t>．</w:t>
      </w:r>
      <w:r>
        <w:rPr>
          <w:rFonts w:eastAsia="方正仿宋_GBK"/>
          <w:sz w:val="32"/>
          <w:szCs w:val="32"/>
        </w:rPr>
        <w:t>事业收入：指事业单位开展专业业务活动及辅助活动取得的收入</w:t>
      </w:r>
      <w:r>
        <w:rPr>
          <w:rFonts w:hint="eastAsia" w:eastAsia="方正仿宋_GBK"/>
          <w:sz w:val="32"/>
          <w:szCs w:val="32"/>
        </w:rPr>
        <w:t>。</w:t>
      </w:r>
    </w:p>
    <w:p>
      <w:pPr>
        <w:ind w:firstLine="640" w:firstLineChars="200"/>
        <w:rPr>
          <w:rFonts w:eastAsia="方正仿宋_GBK"/>
          <w:sz w:val="32"/>
          <w:szCs w:val="32"/>
        </w:rPr>
      </w:pPr>
    </w:p>
    <w:p>
      <w:pPr>
        <w:ind w:firstLine="640" w:firstLineChars="200"/>
        <w:rPr>
          <w:rFonts w:eastAsia="方正仿宋_GBK"/>
          <w:sz w:val="32"/>
          <w:szCs w:val="32"/>
        </w:rPr>
      </w:pPr>
    </w:p>
    <w:p/>
    <w:p>
      <w:pPr>
        <w:pStyle w:val="4"/>
        <w:jc w:val="center"/>
        <w:rPr>
          <w:sz w:val="44"/>
          <w:szCs w:val="44"/>
        </w:rPr>
      </w:pPr>
      <w:bookmarkStart w:id="77" w:name="_Toc27632"/>
      <w:r>
        <w:rPr>
          <w:rFonts w:hint="eastAsia" w:ascii="黑体" w:hAnsi="黑体" w:eastAsia="黑体"/>
          <w:b w:val="0"/>
          <w:sz w:val="44"/>
          <w:szCs w:val="44"/>
        </w:rPr>
        <w:t>第四部分 附件</w:t>
      </w:r>
      <w:bookmarkEnd w:id="77"/>
    </w:p>
    <w:p>
      <w:pPr>
        <w:rPr>
          <w:rFonts w:hint="eastAsia" w:ascii="黑体" w:hAnsi="黑体" w:eastAsia="黑体"/>
          <w:sz w:val="33"/>
          <w:szCs w:val="33"/>
        </w:rPr>
      </w:pPr>
      <w:r>
        <w:rPr>
          <w:rFonts w:hint="eastAsia" w:ascii="黑体" w:hAnsi="黑体" w:eastAsia="黑体"/>
          <w:sz w:val="33"/>
          <w:szCs w:val="33"/>
        </w:rPr>
        <w:t>附件1</w:t>
      </w:r>
    </w:p>
    <w:p>
      <w:pPr>
        <w:jc w:val="center"/>
        <w:rPr>
          <w:rFonts w:hint="eastAsia" w:ascii="方正小标宋简体" w:hAnsi="方正小标宋简体" w:eastAsia="方正小标宋简体"/>
          <w:sz w:val="33"/>
          <w:szCs w:val="33"/>
          <w:lang w:val="en-US" w:eastAsia="zh-CN"/>
        </w:rPr>
      </w:pPr>
      <w:r>
        <w:rPr>
          <w:rFonts w:hint="eastAsia" w:ascii="方正小标宋简体" w:hAnsi="方正小标宋简体" w:eastAsia="方正小标宋简体"/>
          <w:sz w:val="33"/>
          <w:szCs w:val="33"/>
          <w:lang w:val="en-US" w:eastAsia="zh-CN"/>
        </w:rPr>
        <w:t>中共攀枝花市纪律检查委员会 攀枝花市监察委员会</w:t>
      </w:r>
    </w:p>
    <w:p>
      <w:pPr>
        <w:jc w:val="center"/>
        <w:rPr>
          <w:rFonts w:hint="eastAsia" w:ascii="方正小标宋简体" w:hAnsi="方正小标宋简体" w:eastAsia="方正小标宋简体"/>
          <w:sz w:val="33"/>
          <w:szCs w:val="33"/>
        </w:rPr>
      </w:pPr>
      <w:r>
        <w:rPr>
          <w:rFonts w:hint="eastAsia" w:ascii="方正小标宋简体" w:hAnsi="方正小标宋简体" w:eastAsia="方正小标宋简体"/>
          <w:sz w:val="33"/>
          <w:szCs w:val="33"/>
          <w:lang w:val="en-US" w:eastAsia="zh-CN"/>
        </w:rPr>
        <w:t>2023年度</w:t>
      </w:r>
      <w:r>
        <w:rPr>
          <w:rFonts w:hint="eastAsia" w:ascii="方正小标宋简体" w:hAnsi="方正小标宋简体" w:eastAsia="方正小标宋简体"/>
          <w:sz w:val="33"/>
          <w:szCs w:val="33"/>
        </w:rPr>
        <w:t>部门预算绩效评价报告</w:t>
      </w:r>
    </w:p>
    <w:p>
      <w:pPr>
        <w:rPr>
          <w:sz w:val="33"/>
          <w:szCs w:val="33"/>
        </w:rPr>
      </w:pPr>
    </w:p>
    <w:p>
      <w:pPr>
        <w:ind w:firstLine="660" w:firstLineChars="200"/>
        <w:rPr>
          <w:rFonts w:hint="eastAsia" w:ascii="黑体" w:hAnsi="黑体" w:eastAsia="黑体"/>
          <w:sz w:val="33"/>
          <w:szCs w:val="33"/>
        </w:rPr>
      </w:pPr>
      <w:r>
        <w:rPr>
          <w:rFonts w:hint="eastAsia" w:ascii="黑体" w:hAnsi="黑体" w:eastAsia="黑体"/>
          <w:sz w:val="33"/>
          <w:szCs w:val="33"/>
        </w:rPr>
        <w:t>一、部门（单位）基本情况</w:t>
      </w:r>
    </w:p>
    <w:p>
      <w:pPr>
        <w:widowControl/>
        <w:numPr>
          <w:ilvl w:val="0"/>
          <w:numId w:val="3"/>
        </w:numPr>
        <w:adjustRightInd w:val="0"/>
        <w:snapToGrid w:val="0"/>
        <w:spacing w:line="576" w:lineRule="exact"/>
        <w:ind w:firstLine="663" w:firstLineChars="200"/>
        <w:contextualSpacing/>
        <w:jc w:val="left"/>
        <w:rPr>
          <w:rFonts w:hint="eastAsia" w:ascii="方正楷体_GBK" w:hAnsi="方正楷体_GBK" w:eastAsia="方正楷体_GBK" w:cs="方正楷体_GBK"/>
          <w:b/>
          <w:bCs/>
          <w:kern w:val="0"/>
          <w:sz w:val="33"/>
          <w:szCs w:val="33"/>
          <w:shd w:val="clear" w:color="auto" w:fill="FFFFFF"/>
          <w:lang w:val="zh-CN"/>
        </w:rPr>
      </w:pPr>
      <w:r>
        <w:rPr>
          <w:rFonts w:hint="eastAsia" w:ascii="方正楷体_GBK" w:hAnsi="方正楷体_GBK" w:eastAsia="方正楷体_GBK" w:cs="方正楷体_GBK"/>
          <w:b/>
          <w:bCs/>
          <w:kern w:val="0"/>
          <w:sz w:val="33"/>
          <w:szCs w:val="33"/>
          <w:shd w:val="clear" w:color="auto" w:fill="FFFFFF"/>
          <w:lang w:val="zh-CN"/>
        </w:rPr>
        <w:t>机构组成。</w:t>
      </w:r>
    </w:p>
    <w:p>
      <w:pPr>
        <w:spacing w:line="576" w:lineRule="exact"/>
        <w:ind w:firstLine="640"/>
        <w:rPr>
          <w:rFonts w:eastAsia="方正仿宋_GBK"/>
          <w:sz w:val="33"/>
          <w:szCs w:val="33"/>
        </w:rPr>
      </w:pPr>
      <w:r>
        <w:rPr>
          <w:rFonts w:eastAsia="方正仿宋_GBK"/>
          <w:sz w:val="33"/>
          <w:szCs w:val="33"/>
        </w:rPr>
        <w:t>中共攀枝花市纪律检查委员会</w:t>
      </w:r>
      <w:r>
        <w:rPr>
          <w:rFonts w:hint="eastAsia" w:eastAsia="方正仿宋_GBK"/>
          <w:sz w:val="33"/>
          <w:szCs w:val="33"/>
        </w:rPr>
        <w:t xml:space="preserve"> </w:t>
      </w:r>
      <w:r>
        <w:rPr>
          <w:rFonts w:eastAsia="方正仿宋_GBK"/>
          <w:sz w:val="33"/>
          <w:szCs w:val="33"/>
        </w:rPr>
        <w:t>攀枝花市监察委员会内设机构23个职能室部（含市委巡察办及4个巡察组），其中：包括1</w:t>
      </w:r>
      <w:r>
        <w:rPr>
          <w:rFonts w:hint="eastAsia" w:eastAsia="方正仿宋_GBK"/>
          <w:sz w:val="33"/>
          <w:szCs w:val="33"/>
        </w:rPr>
        <w:t>－</w:t>
      </w:r>
      <w:r>
        <w:rPr>
          <w:rFonts w:eastAsia="方正仿宋_GBK"/>
          <w:sz w:val="33"/>
          <w:szCs w:val="33"/>
        </w:rPr>
        <w:t>9纪检监察室、信访室、组织部、宣传部、研究室、党风政风监督室、</w:t>
      </w:r>
      <w:r>
        <w:rPr>
          <w:rFonts w:hint="eastAsia" w:eastAsia="方正仿宋_GBK"/>
          <w:sz w:val="33"/>
          <w:szCs w:val="33"/>
        </w:rPr>
        <w:t>案件监督管理</w:t>
      </w:r>
      <w:r>
        <w:rPr>
          <w:rFonts w:eastAsia="方正仿宋_GBK"/>
          <w:sz w:val="33"/>
          <w:szCs w:val="33"/>
        </w:rPr>
        <w:t>室、</w:t>
      </w:r>
      <w:r>
        <w:rPr>
          <w:rFonts w:hint="eastAsia" w:eastAsia="方正仿宋_GBK"/>
          <w:sz w:val="33"/>
          <w:szCs w:val="33"/>
        </w:rPr>
        <w:t>案件</w:t>
      </w:r>
      <w:r>
        <w:rPr>
          <w:rFonts w:eastAsia="方正仿宋_GBK"/>
          <w:sz w:val="33"/>
          <w:szCs w:val="33"/>
        </w:rPr>
        <w:t>审理室、办公室、</w:t>
      </w:r>
      <w:r>
        <w:rPr>
          <w:rFonts w:hint="eastAsia" w:eastAsia="方正仿宋_GBK"/>
          <w:sz w:val="33"/>
          <w:szCs w:val="33"/>
        </w:rPr>
        <w:t>纪检监察</w:t>
      </w:r>
      <w:r>
        <w:rPr>
          <w:rFonts w:eastAsia="方正仿宋_GBK"/>
          <w:sz w:val="33"/>
          <w:szCs w:val="33"/>
        </w:rPr>
        <w:t>干</w:t>
      </w:r>
      <w:r>
        <w:rPr>
          <w:rFonts w:hint="eastAsia" w:eastAsia="方正仿宋_GBK"/>
          <w:sz w:val="33"/>
          <w:szCs w:val="33"/>
        </w:rPr>
        <w:t>部监督</w:t>
      </w:r>
      <w:r>
        <w:rPr>
          <w:rFonts w:eastAsia="方正仿宋_GBK"/>
          <w:sz w:val="33"/>
          <w:szCs w:val="33"/>
        </w:rPr>
        <w:t>室、机关党委。市委巡察办、4个市委巡察组。下属公益一类事业单位2个，主要包括攀枝花市纪检监察教育培训与信息中心</w:t>
      </w:r>
      <w:r>
        <w:rPr>
          <w:rFonts w:hint="eastAsia" w:eastAsia="方正仿宋_GBK"/>
          <w:sz w:val="33"/>
          <w:szCs w:val="33"/>
        </w:rPr>
        <w:t>、</w:t>
      </w:r>
      <w:r>
        <w:rPr>
          <w:rFonts w:eastAsia="方正仿宋_GBK"/>
          <w:sz w:val="33"/>
          <w:szCs w:val="33"/>
        </w:rPr>
        <w:t>攀枝花市巡察服务中心。</w:t>
      </w:r>
    </w:p>
    <w:p>
      <w:pPr>
        <w:widowControl/>
        <w:numPr>
          <w:ilvl w:val="0"/>
          <w:numId w:val="3"/>
        </w:numPr>
        <w:adjustRightInd w:val="0"/>
        <w:snapToGrid w:val="0"/>
        <w:spacing w:line="576" w:lineRule="exact"/>
        <w:ind w:firstLine="643" w:firstLineChars="200"/>
        <w:contextualSpacing/>
        <w:jc w:val="left"/>
        <w:rPr>
          <w:rFonts w:hint="eastAsia" w:ascii="方正楷体_GBK" w:hAnsi="方正楷体_GBK" w:eastAsia="方正楷体_GBK" w:cs="方正楷体_GBK"/>
          <w:b/>
          <w:bCs/>
          <w:kern w:val="0"/>
          <w:sz w:val="32"/>
          <w:szCs w:val="32"/>
          <w:shd w:val="clear" w:color="auto" w:fill="FFFFFF"/>
          <w:lang w:val="zh-CN"/>
        </w:rPr>
      </w:pPr>
      <w:r>
        <w:rPr>
          <w:rFonts w:hint="eastAsia" w:ascii="方正楷体_GBK" w:hAnsi="方正楷体_GBK" w:eastAsia="方正楷体_GBK" w:cs="方正楷体_GBK"/>
          <w:b/>
          <w:bCs/>
          <w:kern w:val="0"/>
          <w:sz w:val="32"/>
          <w:szCs w:val="32"/>
          <w:shd w:val="clear" w:color="auto" w:fill="FFFFFF"/>
          <w:lang w:val="zh-CN"/>
        </w:rPr>
        <w:t>机构职能和人员概况。</w:t>
      </w:r>
    </w:p>
    <w:p>
      <w:pPr>
        <w:spacing w:line="576" w:lineRule="exact"/>
        <w:ind w:firstLine="640"/>
        <w:rPr>
          <w:rFonts w:eastAsia="方正仿宋_GBK"/>
          <w:sz w:val="33"/>
          <w:szCs w:val="33"/>
        </w:rPr>
      </w:pPr>
      <w:r>
        <w:rPr>
          <w:rFonts w:hint="eastAsia" w:eastAsia="方正仿宋_GBK"/>
          <w:sz w:val="33"/>
          <w:szCs w:val="33"/>
        </w:rPr>
        <w:t>一是负责党的纪律检查工作；二是依照党的章程和其他党内法规履行监督、执纪、问责职责；三是负责全市监察工作；四是依照法律规定履行监督、调查、处置职责；五是负责组织协调全面从严治党、党风廉政建设和反腐败宣传教育工作；六是负责综合分析全面从严治党、党风廉政建设和反腐败工作情况；七是协助市委管理、监督攀枝花纪检监察学院；八是完成市委、省纪委监委交办的其他任务。</w:t>
      </w:r>
    </w:p>
    <w:p>
      <w:pPr>
        <w:spacing w:line="576" w:lineRule="exact"/>
        <w:ind w:firstLine="640"/>
        <w:rPr>
          <w:rFonts w:eastAsia="方正仿宋_GBK"/>
          <w:sz w:val="33"/>
          <w:szCs w:val="33"/>
        </w:rPr>
      </w:pPr>
      <w:r>
        <w:rPr>
          <w:rFonts w:hint="eastAsia" w:eastAsia="方正仿宋_GBK"/>
          <w:sz w:val="33"/>
          <w:szCs w:val="33"/>
        </w:rPr>
        <w:t>下</w:t>
      </w:r>
      <w:r>
        <w:rPr>
          <w:rFonts w:eastAsia="方正仿宋_GBK"/>
          <w:sz w:val="33"/>
          <w:szCs w:val="33"/>
        </w:rPr>
        <w:t>属二级</w:t>
      </w:r>
      <w:r>
        <w:rPr>
          <w:rFonts w:hint="eastAsia" w:eastAsia="方正仿宋_GBK"/>
          <w:sz w:val="33"/>
          <w:szCs w:val="33"/>
        </w:rPr>
        <w:t>单位</w:t>
      </w:r>
      <w:r>
        <w:rPr>
          <w:rFonts w:eastAsia="方正仿宋_GBK"/>
          <w:sz w:val="33"/>
          <w:szCs w:val="33"/>
        </w:rPr>
        <w:t>：</w:t>
      </w:r>
    </w:p>
    <w:p>
      <w:pPr>
        <w:spacing w:line="576" w:lineRule="exact"/>
        <w:ind w:firstLine="640"/>
        <w:rPr>
          <w:rFonts w:eastAsia="方正仿宋_GBK"/>
          <w:sz w:val="33"/>
          <w:szCs w:val="33"/>
        </w:rPr>
      </w:pPr>
      <w:r>
        <w:rPr>
          <w:rFonts w:eastAsia="方正仿宋_GBK"/>
          <w:sz w:val="33"/>
          <w:szCs w:val="33"/>
        </w:rPr>
        <w:t>攀枝</w:t>
      </w:r>
      <w:r>
        <w:rPr>
          <w:rFonts w:hint="eastAsia" w:eastAsia="方正仿宋_GBK"/>
          <w:sz w:val="33"/>
          <w:szCs w:val="33"/>
        </w:rPr>
        <w:t>花</w:t>
      </w:r>
      <w:r>
        <w:rPr>
          <w:rFonts w:eastAsia="方正仿宋_GBK"/>
          <w:sz w:val="33"/>
          <w:szCs w:val="33"/>
        </w:rPr>
        <w:t>市纪检监察教育培训与信息中心承担</w:t>
      </w:r>
      <w:r>
        <w:rPr>
          <w:rFonts w:hint="eastAsia" w:eastAsia="方正仿宋_GBK"/>
          <w:sz w:val="33"/>
          <w:szCs w:val="33"/>
        </w:rPr>
        <w:t>全市纪检监察系统信息化建设服务、纪检监察干部的教育培训和查办党纪政纪案件的后勤保障服务工作，同时负责攀枝花市监委留置场所接纳、安置对象工作和场所的日常管理、安全保卫等后勤服务保障工作。</w:t>
      </w:r>
    </w:p>
    <w:p>
      <w:pPr>
        <w:spacing w:line="576" w:lineRule="exact"/>
        <w:ind w:firstLine="640"/>
      </w:pPr>
      <w:r>
        <w:rPr>
          <w:rFonts w:eastAsia="方正仿宋_GBK"/>
          <w:sz w:val="33"/>
          <w:szCs w:val="33"/>
        </w:rPr>
        <w:t>攀</w:t>
      </w:r>
      <w:r>
        <w:rPr>
          <w:rFonts w:hint="eastAsia" w:eastAsia="方正仿宋_GBK"/>
          <w:sz w:val="33"/>
          <w:szCs w:val="33"/>
        </w:rPr>
        <w:t>枝</w:t>
      </w:r>
      <w:r>
        <w:rPr>
          <w:rFonts w:eastAsia="方正仿宋_GBK"/>
          <w:sz w:val="33"/>
          <w:szCs w:val="33"/>
        </w:rPr>
        <w:t>花市巡察服务中心承担全市巡视巡察系统信息化建设和巡察资料收集、整理、归档工作；负责巡察期间信访接待</w:t>
      </w:r>
      <w:r>
        <w:rPr>
          <w:rFonts w:hint="eastAsia" w:eastAsia="方正仿宋_GBK"/>
          <w:sz w:val="33"/>
          <w:szCs w:val="33"/>
        </w:rPr>
        <w:t>、</w:t>
      </w:r>
      <w:r>
        <w:rPr>
          <w:rFonts w:eastAsia="方正仿宋_GBK"/>
          <w:sz w:val="33"/>
          <w:szCs w:val="33"/>
        </w:rPr>
        <w:t>沟通联络、保障服务等工作；配合开展全市巡察干部教育培训</w:t>
      </w:r>
      <w:r>
        <w:rPr>
          <w:rFonts w:hint="eastAsia" w:eastAsia="方正仿宋_GBK"/>
          <w:sz w:val="33"/>
          <w:szCs w:val="33"/>
        </w:rPr>
        <w:t>。</w:t>
      </w:r>
    </w:p>
    <w:p>
      <w:pPr>
        <w:widowControl/>
        <w:numPr>
          <w:ilvl w:val="0"/>
          <w:numId w:val="3"/>
        </w:numPr>
        <w:adjustRightInd w:val="0"/>
        <w:snapToGrid w:val="0"/>
        <w:spacing w:line="576" w:lineRule="exact"/>
        <w:ind w:firstLine="643" w:firstLineChars="200"/>
        <w:contextualSpacing/>
        <w:jc w:val="left"/>
        <w:rPr>
          <w:rFonts w:hint="eastAsia" w:ascii="方正楷体_GBK" w:hAnsi="方正楷体_GBK" w:eastAsia="方正楷体_GBK" w:cs="方正楷体_GBK"/>
          <w:b/>
          <w:bCs/>
          <w:kern w:val="0"/>
          <w:sz w:val="32"/>
          <w:szCs w:val="32"/>
          <w:shd w:val="clear" w:color="auto" w:fill="FFFFFF"/>
          <w:lang w:val="zh-CN"/>
        </w:rPr>
      </w:pPr>
      <w:r>
        <w:rPr>
          <w:rFonts w:hint="eastAsia" w:ascii="方正楷体_GBK" w:hAnsi="方正楷体_GBK" w:eastAsia="方正楷体_GBK" w:cs="方正楷体_GBK"/>
          <w:b/>
          <w:bCs/>
          <w:kern w:val="0"/>
          <w:sz w:val="32"/>
          <w:szCs w:val="32"/>
          <w:shd w:val="clear" w:color="auto" w:fill="FFFFFF"/>
          <w:lang w:val="zh-CN"/>
        </w:rPr>
        <w:t>人员概况。</w:t>
      </w:r>
    </w:p>
    <w:p>
      <w:pPr>
        <w:spacing w:line="576" w:lineRule="exact"/>
        <w:ind w:firstLine="660" w:firstLineChars="200"/>
        <w:rPr>
          <w:rFonts w:eastAsia="方正仿宋_GBK"/>
          <w:sz w:val="33"/>
          <w:szCs w:val="33"/>
        </w:rPr>
      </w:pPr>
      <w:r>
        <w:rPr>
          <w:rFonts w:hint="eastAsia" w:eastAsia="方正仿宋_GBK"/>
          <w:sz w:val="33"/>
          <w:szCs w:val="33"/>
        </w:rPr>
        <w:t>攀枝花市纪委监委</w:t>
      </w:r>
      <w:r>
        <w:rPr>
          <w:rFonts w:eastAsia="方正仿宋_GBK"/>
          <w:sz w:val="33"/>
          <w:szCs w:val="33"/>
        </w:rPr>
        <w:t>编制数8</w:t>
      </w:r>
      <w:r>
        <w:rPr>
          <w:rFonts w:hint="eastAsia" w:eastAsia="方正仿宋_GBK"/>
          <w:sz w:val="33"/>
          <w:szCs w:val="33"/>
        </w:rPr>
        <w:t>7</w:t>
      </w:r>
      <w:r>
        <w:rPr>
          <w:rFonts w:eastAsia="方正仿宋_GBK"/>
          <w:sz w:val="33"/>
          <w:szCs w:val="33"/>
        </w:rPr>
        <w:t>人，其中：行政编制</w:t>
      </w:r>
      <w:r>
        <w:rPr>
          <w:rFonts w:hint="eastAsia" w:eastAsia="方正仿宋_GBK"/>
          <w:sz w:val="33"/>
          <w:szCs w:val="33"/>
        </w:rPr>
        <w:t>80</w:t>
      </w:r>
      <w:r>
        <w:rPr>
          <w:rFonts w:eastAsia="方正仿宋_GBK"/>
          <w:sz w:val="33"/>
          <w:szCs w:val="33"/>
        </w:rPr>
        <w:t>人（含市委巡察办</w:t>
      </w:r>
      <w:r>
        <w:rPr>
          <w:rFonts w:hint="eastAsia" w:eastAsia="方正仿宋_GBK"/>
          <w:sz w:val="33"/>
          <w:szCs w:val="33"/>
        </w:rPr>
        <w:t>13</w:t>
      </w:r>
      <w:r>
        <w:rPr>
          <w:rFonts w:eastAsia="方正仿宋_GBK"/>
          <w:sz w:val="33"/>
          <w:szCs w:val="33"/>
        </w:rPr>
        <w:t>人），机关工勤编7人。202</w:t>
      </w:r>
      <w:r>
        <w:rPr>
          <w:rFonts w:hint="eastAsia" w:eastAsia="方正仿宋_GBK"/>
          <w:sz w:val="33"/>
          <w:szCs w:val="33"/>
        </w:rPr>
        <w:t>3</w:t>
      </w:r>
      <w:r>
        <w:rPr>
          <w:rFonts w:eastAsia="方正仿宋_GBK"/>
          <w:sz w:val="33"/>
          <w:szCs w:val="33"/>
        </w:rPr>
        <w:t>年</w:t>
      </w:r>
      <w:r>
        <w:rPr>
          <w:rFonts w:hint="eastAsia" w:eastAsia="方正仿宋_GBK"/>
          <w:sz w:val="33"/>
          <w:szCs w:val="33"/>
        </w:rPr>
        <w:t>底</w:t>
      </w:r>
      <w:r>
        <w:rPr>
          <w:rFonts w:eastAsia="方正仿宋_GBK"/>
          <w:sz w:val="33"/>
          <w:szCs w:val="33"/>
        </w:rPr>
        <w:t>实有人数</w:t>
      </w:r>
      <w:r>
        <w:rPr>
          <w:rFonts w:hint="eastAsia" w:eastAsia="方正仿宋_GBK"/>
          <w:sz w:val="33"/>
          <w:szCs w:val="33"/>
        </w:rPr>
        <w:t>84</w:t>
      </w:r>
      <w:r>
        <w:rPr>
          <w:rFonts w:eastAsia="方正仿宋_GBK"/>
          <w:sz w:val="33"/>
          <w:szCs w:val="33"/>
        </w:rPr>
        <w:t>人，其中：行政人员</w:t>
      </w:r>
      <w:r>
        <w:rPr>
          <w:rFonts w:hint="eastAsia" w:eastAsia="方正仿宋_GBK"/>
          <w:sz w:val="33"/>
          <w:szCs w:val="33"/>
        </w:rPr>
        <w:t>74</w:t>
      </w:r>
      <w:r>
        <w:rPr>
          <w:rFonts w:eastAsia="方正仿宋_GBK"/>
          <w:sz w:val="33"/>
          <w:szCs w:val="33"/>
        </w:rPr>
        <w:t>人（含市委巡察办），工勤</w:t>
      </w:r>
      <w:r>
        <w:rPr>
          <w:rFonts w:hint="eastAsia" w:eastAsia="方正仿宋_GBK"/>
          <w:sz w:val="33"/>
          <w:szCs w:val="33"/>
        </w:rPr>
        <w:t>2</w:t>
      </w:r>
      <w:r>
        <w:rPr>
          <w:rFonts w:eastAsia="方正仿宋_GBK"/>
          <w:sz w:val="33"/>
          <w:szCs w:val="33"/>
        </w:rPr>
        <w:t>人，占编</w:t>
      </w:r>
      <w:r>
        <w:rPr>
          <w:rFonts w:hint="eastAsia" w:eastAsia="方正仿宋_GBK"/>
          <w:sz w:val="33"/>
          <w:szCs w:val="33"/>
        </w:rPr>
        <w:t>聘用</w:t>
      </w:r>
      <w:r>
        <w:rPr>
          <w:rFonts w:eastAsia="方正仿宋_GBK"/>
          <w:sz w:val="33"/>
          <w:szCs w:val="33"/>
        </w:rPr>
        <w:t>8人。离退休职工共计3</w:t>
      </w:r>
      <w:r>
        <w:rPr>
          <w:rFonts w:hint="eastAsia" w:eastAsia="方正仿宋_GBK"/>
          <w:sz w:val="33"/>
          <w:szCs w:val="33"/>
        </w:rPr>
        <w:t>1</w:t>
      </w:r>
      <w:r>
        <w:rPr>
          <w:rFonts w:eastAsia="方正仿宋_GBK"/>
          <w:sz w:val="33"/>
          <w:szCs w:val="33"/>
        </w:rPr>
        <w:t>人，其中：离休</w:t>
      </w:r>
      <w:r>
        <w:rPr>
          <w:rFonts w:hint="eastAsia" w:eastAsia="方正仿宋_GBK"/>
          <w:sz w:val="33"/>
          <w:szCs w:val="33"/>
        </w:rPr>
        <w:t>1</w:t>
      </w:r>
      <w:r>
        <w:rPr>
          <w:rFonts w:eastAsia="方正仿宋_GBK"/>
          <w:sz w:val="33"/>
          <w:szCs w:val="33"/>
        </w:rPr>
        <w:t>人，退休</w:t>
      </w:r>
      <w:r>
        <w:rPr>
          <w:rFonts w:hint="eastAsia" w:eastAsia="方正仿宋_GBK"/>
          <w:sz w:val="33"/>
          <w:szCs w:val="33"/>
        </w:rPr>
        <w:t>30</w:t>
      </w:r>
      <w:r>
        <w:rPr>
          <w:rFonts w:eastAsia="方正仿宋_GBK"/>
          <w:sz w:val="33"/>
          <w:szCs w:val="33"/>
        </w:rPr>
        <w:t>人</w:t>
      </w:r>
      <w:r>
        <w:rPr>
          <w:rFonts w:hint="eastAsia" w:eastAsia="方正仿宋_GBK"/>
          <w:sz w:val="33"/>
          <w:szCs w:val="33"/>
        </w:rPr>
        <w:t>。</w:t>
      </w:r>
    </w:p>
    <w:p>
      <w:pPr>
        <w:spacing w:line="576" w:lineRule="exact"/>
        <w:ind w:firstLine="640"/>
        <w:rPr>
          <w:lang w:val="zh-CN"/>
        </w:rPr>
      </w:pPr>
      <w:r>
        <w:rPr>
          <w:rFonts w:hint="eastAsia" w:eastAsia="方正仿宋_GBK"/>
          <w:sz w:val="33"/>
          <w:szCs w:val="33"/>
        </w:rPr>
        <w:t>培训中心（含巡</w:t>
      </w:r>
      <w:r>
        <w:rPr>
          <w:rFonts w:eastAsia="方正仿宋_GBK"/>
          <w:sz w:val="33"/>
          <w:szCs w:val="33"/>
        </w:rPr>
        <w:t>察服务中心）</w:t>
      </w:r>
      <w:r>
        <w:rPr>
          <w:rFonts w:hint="eastAsia" w:eastAsia="方正仿宋_GBK"/>
          <w:sz w:val="33"/>
          <w:szCs w:val="33"/>
        </w:rPr>
        <w:t>现有事业编制</w:t>
      </w:r>
      <w:r>
        <w:rPr>
          <w:rFonts w:eastAsia="方正仿宋_GBK"/>
          <w:sz w:val="33"/>
          <w:szCs w:val="33"/>
        </w:rPr>
        <w:t>24</w:t>
      </w:r>
      <w:r>
        <w:rPr>
          <w:rFonts w:hint="eastAsia" w:eastAsia="方正仿宋_GBK"/>
          <w:sz w:val="33"/>
          <w:szCs w:val="33"/>
        </w:rPr>
        <w:t>人，截止</w:t>
      </w:r>
      <w:r>
        <w:rPr>
          <w:rFonts w:eastAsia="方正仿宋_GBK"/>
          <w:sz w:val="33"/>
          <w:szCs w:val="33"/>
        </w:rPr>
        <w:t>202</w:t>
      </w:r>
      <w:r>
        <w:rPr>
          <w:rFonts w:hint="eastAsia" w:eastAsia="方正仿宋_GBK"/>
          <w:sz w:val="33"/>
          <w:szCs w:val="33"/>
        </w:rPr>
        <w:t>3</w:t>
      </w:r>
      <w:r>
        <w:rPr>
          <w:rFonts w:eastAsia="方正仿宋_GBK"/>
          <w:sz w:val="33"/>
          <w:szCs w:val="33"/>
        </w:rPr>
        <w:t>年</w:t>
      </w:r>
      <w:r>
        <w:rPr>
          <w:rFonts w:hint="eastAsia" w:eastAsia="方正仿宋_GBK"/>
          <w:sz w:val="33"/>
          <w:szCs w:val="33"/>
        </w:rPr>
        <w:t>底</w:t>
      </w:r>
      <w:r>
        <w:rPr>
          <w:rFonts w:eastAsia="方正仿宋_GBK"/>
          <w:sz w:val="33"/>
          <w:szCs w:val="33"/>
        </w:rPr>
        <w:t>实</w:t>
      </w:r>
      <w:r>
        <w:rPr>
          <w:rFonts w:hint="eastAsia" w:eastAsia="方正仿宋_GBK"/>
          <w:sz w:val="33"/>
          <w:szCs w:val="33"/>
        </w:rPr>
        <w:t>有在职人员17人。</w:t>
      </w:r>
    </w:p>
    <w:p>
      <w:pPr>
        <w:ind w:firstLine="660" w:firstLineChars="200"/>
        <w:rPr>
          <w:rFonts w:hint="eastAsia" w:ascii="黑体" w:hAnsi="黑体" w:eastAsia="黑体"/>
          <w:sz w:val="33"/>
          <w:szCs w:val="33"/>
        </w:rPr>
      </w:pPr>
      <w:r>
        <w:rPr>
          <w:rFonts w:hint="eastAsia" w:ascii="黑体" w:hAnsi="黑体" w:eastAsia="黑体"/>
          <w:sz w:val="33"/>
          <w:szCs w:val="33"/>
        </w:rPr>
        <w:t>二、部门资金收支情况</w:t>
      </w:r>
    </w:p>
    <w:p>
      <w:pPr>
        <w:ind w:firstLine="663" w:firstLineChars="200"/>
        <w:rPr>
          <w:rFonts w:eastAsia="方正仿宋_GBK"/>
          <w:sz w:val="33"/>
          <w:szCs w:val="33"/>
        </w:rPr>
      </w:pPr>
      <w:r>
        <w:rPr>
          <w:rFonts w:hint="eastAsia" w:ascii="方正楷体_GBK" w:hAnsi="方正楷体_GBK" w:eastAsia="方正楷体_GBK" w:cs="方正楷体_GBK"/>
          <w:b/>
          <w:sz w:val="33"/>
          <w:szCs w:val="33"/>
        </w:rPr>
        <w:t>（一）收入情况。</w:t>
      </w:r>
      <w:r>
        <w:rPr>
          <w:rFonts w:hint="eastAsia" w:eastAsia="方正仿宋_GBK"/>
          <w:sz w:val="33"/>
          <w:szCs w:val="33"/>
        </w:rPr>
        <w:t>攀枝花市纪委监委</w:t>
      </w:r>
      <w:r>
        <w:rPr>
          <w:rFonts w:eastAsia="方正仿宋_GBK"/>
          <w:sz w:val="33"/>
          <w:szCs w:val="33"/>
        </w:rPr>
        <w:t>2023年年初预算收入</w:t>
      </w:r>
      <w:r>
        <w:rPr>
          <w:rFonts w:hint="eastAsia" w:eastAsia="方正仿宋_GBK"/>
          <w:sz w:val="33"/>
          <w:szCs w:val="33"/>
        </w:rPr>
        <w:t>2960</w:t>
      </w:r>
      <w:r>
        <w:rPr>
          <w:rFonts w:eastAsia="方正仿宋_GBK"/>
          <w:sz w:val="33"/>
          <w:szCs w:val="33"/>
        </w:rPr>
        <w:t>万元、决算报表收入3692.99万元。</w:t>
      </w:r>
    </w:p>
    <w:p>
      <w:pPr>
        <w:ind w:firstLine="663" w:firstLineChars="200"/>
        <w:rPr>
          <w:rFonts w:eastAsia="方正仿宋_GBK"/>
          <w:sz w:val="33"/>
          <w:szCs w:val="33"/>
        </w:rPr>
      </w:pPr>
      <w:r>
        <w:rPr>
          <w:rFonts w:hint="eastAsia" w:ascii="方正楷体_GBK" w:hAnsi="方正楷体_GBK" w:eastAsia="方正楷体_GBK" w:cs="方正楷体_GBK"/>
          <w:b/>
          <w:sz w:val="33"/>
          <w:szCs w:val="33"/>
        </w:rPr>
        <w:t>（二）支出情况。</w:t>
      </w:r>
      <w:r>
        <w:rPr>
          <w:rFonts w:hint="eastAsia" w:eastAsia="方正仿宋_GBK"/>
          <w:sz w:val="33"/>
          <w:szCs w:val="33"/>
        </w:rPr>
        <w:t>攀枝花市纪委监委</w:t>
      </w:r>
      <w:r>
        <w:rPr>
          <w:rFonts w:eastAsia="方正仿宋_GBK"/>
          <w:sz w:val="33"/>
          <w:szCs w:val="33"/>
        </w:rPr>
        <w:t>2023年年初预算支出</w:t>
      </w:r>
      <w:r>
        <w:rPr>
          <w:rFonts w:hint="eastAsia" w:eastAsia="方正仿宋_GBK"/>
          <w:sz w:val="33"/>
          <w:szCs w:val="33"/>
        </w:rPr>
        <w:t>2960</w:t>
      </w:r>
      <w:r>
        <w:rPr>
          <w:rFonts w:eastAsia="方正仿宋_GBK"/>
          <w:sz w:val="33"/>
          <w:szCs w:val="33"/>
        </w:rPr>
        <w:t>万元、决算报表支出3692.99万元。</w:t>
      </w:r>
    </w:p>
    <w:p>
      <w:pPr>
        <w:ind w:firstLine="663" w:firstLineChars="200"/>
        <w:rPr>
          <w:rFonts w:eastAsia="方正仿宋_GBK"/>
          <w:sz w:val="33"/>
          <w:szCs w:val="33"/>
        </w:rPr>
      </w:pPr>
      <w:r>
        <w:rPr>
          <w:rFonts w:hint="eastAsia" w:ascii="方正楷体_GBK" w:hAnsi="方正楷体_GBK" w:eastAsia="方正楷体_GBK" w:cs="方正楷体_GBK"/>
          <w:b/>
          <w:sz w:val="33"/>
          <w:szCs w:val="33"/>
        </w:rPr>
        <w:t>（三）结余分配和结转结余情况。</w:t>
      </w:r>
      <w:r>
        <w:rPr>
          <w:rFonts w:hint="eastAsia" w:eastAsia="方正仿宋_GBK"/>
          <w:sz w:val="33"/>
          <w:szCs w:val="33"/>
        </w:rPr>
        <w:t>攀枝花市纪委监委</w:t>
      </w:r>
      <w:r>
        <w:rPr>
          <w:rFonts w:eastAsia="方正仿宋_GBK"/>
          <w:sz w:val="33"/>
          <w:szCs w:val="33"/>
        </w:rPr>
        <w:t>2023年决算报表无结转结余情况。</w:t>
      </w:r>
    </w:p>
    <w:p>
      <w:pPr>
        <w:ind w:firstLine="660" w:firstLineChars="200"/>
        <w:rPr>
          <w:rFonts w:hint="eastAsia" w:ascii="黑体" w:hAnsi="黑体" w:eastAsia="黑体"/>
          <w:sz w:val="33"/>
          <w:szCs w:val="33"/>
        </w:rPr>
      </w:pPr>
      <w:r>
        <w:rPr>
          <w:rFonts w:hint="eastAsia" w:ascii="黑体" w:hAnsi="黑体" w:eastAsia="黑体"/>
          <w:sz w:val="33"/>
          <w:szCs w:val="33"/>
        </w:rPr>
        <w:t>三、部门预算绩效分析</w:t>
      </w:r>
    </w:p>
    <w:p>
      <w:pPr>
        <w:ind w:firstLine="663" w:firstLineChars="200"/>
        <w:rPr>
          <w:rFonts w:hint="eastAsia" w:ascii="方正楷体_GBK" w:hAnsi="方正楷体_GBK" w:eastAsia="方正楷体_GBK" w:cs="方正楷体_GBK"/>
          <w:sz w:val="33"/>
          <w:szCs w:val="33"/>
        </w:rPr>
      </w:pPr>
      <w:r>
        <w:rPr>
          <w:rFonts w:hint="eastAsia" w:ascii="方正楷体_GBK" w:hAnsi="方正楷体_GBK" w:eastAsia="方正楷体_GBK" w:cs="方正楷体_GBK"/>
          <w:b/>
          <w:sz w:val="33"/>
          <w:szCs w:val="33"/>
        </w:rPr>
        <w:t>（一）部门预算总体绩效分析。</w:t>
      </w:r>
    </w:p>
    <w:p>
      <w:pPr>
        <w:suppressAutoHyphens/>
        <w:spacing w:line="576" w:lineRule="exact"/>
        <w:ind w:firstLine="649" w:firstLineChars="196"/>
        <w:rPr>
          <w:rFonts w:eastAsia="方正仿宋_GBK"/>
          <w:b/>
          <w:bCs/>
          <w:color w:val="000000"/>
          <w:kern w:val="0"/>
          <w:sz w:val="33"/>
          <w:szCs w:val="33"/>
          <w:shd w:val="clear" w:color="auto" w:fill="FFFFFF"/>
          <w:lang w:val="zh-CN"/>
        </w:rPr>
      </w:pPr>
      <w:r>
        <w:rPr>
          <w:rFonts w:eastAsia="方正仿宋_GBK"/>
          <w:b/>
          <w:bCs/>
          <w:color w:val="000000"/>
          <w:kern w:val="0"/>
          <w:sz w:val="33"/>
          <w:szCs w:val="33"/>
          <w:shd w:val="clear" w:color="auto" w:fill="FFFFFF"/>
        </w:rPr>
        <w:t>1.</w:t>
      </w:r>
      <w:r>
        <w:rPr>
          <w:rFonts w:eastAsia="方正仿宋_GBK"/>
          <w:b/>
          <w:bCs/>
          <w:color w:val="000000"/>
          <w:kern w:val="0"/>
          <w:sz w:val="33"/>
          <w:szCs w:val="33"/>
          <w:shd w:val="clear" w:color="auto" w:fill="FFFFFF"/>
          <w:lang w:val="zh-CN"/>
        </w:rPr>
        <w:t>履职</w:t>
      </w:r>
      <w:r>
        <w:rPr>
          <w:rFonts w:eastAsia="方正仿宋_GBK"/>
          <w:b/>
          <w:bCs/>
          <w:color w:val="000000"/>
          <w:kern w:val="0"/>
          <w:sz w:val="33"/>
          <w:szCs w:val="33"/>
          <w:shd w:val="clear" w:color="auto" w:fill="FFFFFF"/>
        </w:rPr>
        <w:t>效能</w:t>
      </w:r>
      <w:r>
        <w:rPr>
          <w:rFonts w:eastAsia="方正仿宋_GBK"/>
          <w:b/>
          <w:bCs/>
          <w:color w:val="000000"/>
          <w:kern w:val="0"/>
          <w:sz w:val="33"/>
          <w:szCs w:val="33"/>
          <w:shd w:val="clear" w:color="auto" w:fill="FFFFFF"/>
          <w:lang w:val="zh-CN"/>
        </w:rPr>
        <w:t>。</w:t>
      </w:r>
    </w:p>
    <w:p>
      <w:pPr>
        <w:suppressAutoHyphens/>
        <w:spacing w:line="576" w:lineRule="exact"/>
        <w:ind w:firstLine="646" w:firstLineChars="196"/>
        <w:rPr>
          <w:rFonts w:eastAsia="方正仿宋_GBK"/>
          <w:bCs/>
          <w:color w:val="000000"/>
          <w:sz w:val="33"/>
          <w:szCs w:val="33"/>
        </w:rPr>
      </w:pPr>
      <w:r>
        <w:rPr>
          <w:rFonts w:eastAsia="方正仿宋_GBK"/>
          <w:bCs/>
          <w:color w:val="000000"/>
          <w:sz w:val="33"/>
          <w:szCs w:val="33"/>
        </w:rPr>
        <w:t>2023 年度整体绩效目标为：在省纪委监委和市委的坚强领导下，市纪委监委坚持以习近平新时代中国特色社会主义思想为指导，认真学习贯彻党的二十大精神和习近平总书记来川视察重要指示精神，全面落实省委及市委工作部署，积极围绕市委“一三三三”总体发展战略发挥监督保障执行、促进完善发展作用，以全面从严治党新成效保障全市经济社会高质量发展。</w:t>
      </w:r>
    </w:p>
    <w:p>
      <w:pPr>
        <w:suppressAutoHyphens/>
        <w:spacing w:line="576" w:lineRule="exact"/>
        <w:ind w:firstLine="646" w:firstLineChars="196"/>
        <w:rPr>
          <w:rFonts w:eastAsia="方正仿宋_GBK"/>
          <w:bCs/>
          <w:color w:val="000000"/>
          <w:sz w:val="33"/>
          <w:szCs w:val="33"/>
        </w:rPr>
      </w:pPr>
      <w:r>
        <w:rPr>
          <w:rFonts w:eastAsia="方正仿宋_GBK"/>
          <w:bCs/>
          <w:color w:val="000000"/>
          <w:sz w:val="33"/>
          <w:szCs w:val="33"/>
        </w:rPr>
        <w:t>年度主要任务为：一是坚定不移强化政治监督；二是驰而不息正风肃纪反腐；三是与时俱进深化政治巡察；四是持续加强廉洁文化建设；五是持续推进纪检监察工作“三化”建设。</w:t>
      </w:r>
    </w:p>
    <w:p>
      <w:pPr>
        <w:suppressAutoHyphens/>
        <w:spacing w:line="576" w:lineRule="exact"/>
        <w:ind w:firstLine="646" w:firstLineChars="196"/>
        <w:rPr>
          <w:rFonts w:eastAsia="方正仿宋_GBK"/>
          <w:bCs/>
          <w:color w:val="000000"/>
          <w:sz w:val="33"/>
          <w:szCs w:val="33"/>
        </w:rPr>
      </w:pPr>
      <w:r>
        <w:rPr>
          <w:rFonts w:eastAsia="方正仿宋_GBK"/>
          <w:bCs/>
          <w:color w:val="000000"/>
          <w:sz w:val="33"/>
          <w:szCs w:val="33"/>
        </w:rPr>
        <w:t>根据年初填报的我单位整体支出绩效目标申报表选取以下3个职能目标进行完成效果情况绩效分析：问题线索处置率，立案案件办结率，信访举报办结率≥95%，达成目标要求；编印警示教育读本2500本，达成目标要求；收缴违纪违法和犯罪款物，达到目标要求。</w:t>
      </w:r>
    </w:p>
    <w:p>
      <w:pPr>
        <w:suppressAutoHyphens/>
        <w:spacing w:line="576" w:lineRule="exact"/>
        <w:ind w:left="412" w:leftChars="196" w:firstLine="663" w:firstLineChars="200"/>
        <w:rPr>
          <w:rFonts w:eastAsia="方正仿宋_GBK"/>
          <w:bCs/>
          <w:color w:val="000000"/>
          <w:sz w:val="33"/>
          <w:szCs w:val="33"/>
        </w:rPr>
      </w:pPr>
      <w:r>
        <w:rPr>
          <w:rFonts w:eastAsia="方正仿宋_GBK"/>
          <w:b/>
          <w:color w:val="000000"/>
          <w:sz w:val="33"/>
          <w:szCs w:val="33"/>
        </w:rPr>
        <w:t>2.预算管理。</w:t>
      </w:r>
      <w:r>
        <w:rPr>
          <w:rFonts w:eastAsia="方正仿宋_GBK"/>
          <w:bCs/>
          <w:color w:val="000000"/>
          <w:sz w:val="33"/>
          <w:szCs w:val="33"/>
        </w:rPr>
        <w:t xml:space="preserve"> </w:t>
      </w:r>
    </w:p>
    <w:p>
      <w:pPr>
        <w:suppressAutoHyphens/>
        <w:spacing w:line="576" w:lineRule="exact"/>
        <w:ind w:left="412" w:leftChars="196" w:firstLine="660" w:firstLineChars="200"/>
        <w:rPr>
          <w:rFonts w:eastAsia="方正仿宋_GBK"/>
          <w:bCs/>
          <w:color w:val="000000"/>
          <w:sz w:val="33"/>
          <w:szCs w:val="33"/>
        </w:rPr>
      </w:pPr>
      <w:r>
        <w:rPr>
          <w:rFonts w:eastAsia="方正仿宋_GBK"/>
          <w:bCs/>
          <w:color w:val="000000"/>
          <w:sz w:val="33"/>
          <w:szCs w:val="33"/>
        </w:rPr>
        <w:t>①预算编制质量：2023年财政拨款预算执行数 3692.99万元，财政拨款年初预算数 2960万元。</w:t>
      </w:r>
    </w:p>
    <w:p>
      <w:pPr>
        <w:suppressAutoHyphens/>
        <w:spacing w:line="576" w:lineRule="exact"/>
        <w:ind w:left="412" w:leftChars="196" w:firstLine="660" w:firstLineChars="200"/>
        <w:rPr>
          <w:rFonts w:eastAsia="方正仿宋_GBK"/>
          <w:bCs/>
          <w:color w:val="000000"/>
          <w:sz w:val="33"/>
          <w:szCs w:val="33"/>
        </w:rPr>
      </w:pPr>
      <w:r>
        <w:rPr>
          <w:rFonts w:eastAsia="方正仿宋_GBK"/>
          <w:bCs/>
          <w:color w:val="000000"/>
          <w:sz w:val="33"/>
          <w:szCs w:val="33"/>
        </w:rPr>
        <w:t xml:space="preserve">②单位收入统筹：部门未产生自有收入。 </w:t>
      </w:r>
    </w:p>
    <w:p>
      <w:pPr>
        <w:suppressAutoHyphens/>
        <w:spacing w:line="576" w:lineRule="exact"/>
        <w:ind w:left="412" w:leftChars="196" w:firstLine="660" w:firstLineChars="200"/>
        <w:rPr>
          <w:rFonts w:eastAsia="方正仿宋_GBK"/>
          <w:bCs/>
          <w:color w:val="000000"/>
          <w:sz w:val="33"/>
          <w:szCs w:val="33"/>
        </w:rPr>
      </w:pPr>
      <w:r>
        <w:rPr>
          <w:rFonts w:eastAsia="方正仿宋_GBK"/>
          <w:bCs/>
          <w:color w:val="000000"/>
          <w:sz w:val="33"/>
          <w:szCs w:val="33"/>
        </w:rPr>
        <w:t>③支出执行进度：2023年1—8月预算执行金额 2309.34万元，全年预算数3692.99万元，预算执行进度 62.53%。</w:t>
      </w:r>
    </w:p>
    <w:p>
      <w:pPr>
        <w:suppressAutoHyphens/>
        <w:spacing w:line="576" w:lineRule="exact"/>
        <w:ind w:left="412" w:leftChars="196" w:firstLine="660" w:firstLineChars="200"/>
        <w:rPr>
          <w:rFonts w:eastAsia="方正仿宋_GBK"/>
          <w:bCs/>
          <w:color w:val="000000"/>
          <w:sz w:val="33"/>
          <w:szCs w:val="33"/>
        </w:rPr>
      </w:pPr>
      <w:r>
        <w:rPr>
          <w:rFonts w:eastAsia="方正仿宋_GBK"/>
          <w:bCs/>
          <w:color w:val="000000"/>
          <w:sz w:val="33"/>
          <w:szCs w:val="33"/>
        </w:rPr>
        <w:t>④预算年终结余：无年终结转结余。</w:t>
      </w:r>
    </w:p>
    <w:p>
      <w:pPr>
        <w:suppressAutoHyphens/>
        <w:spacing w:line="576" w:lineRule="exact"/>
        <w:ind w:left="412" w:leftChars="196" w:firstLine="660" w:firstLineChars="200"/>
        <w:rPr>
          <w:rFonts w:eastAsia="方正仿宋_GBK"/>
          <w:bCs/>
          <w:color w:val="000000"/>
          <w:sz w:val="33"/>
          <w:szCs w:val="33"/>
        </w:rPr>
      </w:pPr>
      <w:r>
        <w:rPr>
          <w:rFonts w:eastAsia="方正仿宋_GBK"/>
          <w:bCs/>
          <w:color w:val="000000"/>
          <w:sz w:val="33"/>
          <w:szCs w:val="33"/>
        </w:rPr>
        <w:t>⑤严控一般性支出：2023 年年初预算安排“三公”经费、会议费、培训费、差旅费、办公设备购置经费、等一般性支出 357.72万元，较2022 年年初预算安排 360.32万元减少2.6万元，下降0.72%。</w:t>
      </w:r>
    </w:p>
    <w:p>
      <w:pPr>
        <w:suppressAutoHyphens/>
        <w:spacing w:line="576" w:lineRule="exact"/>
        <w:ind w:left="412" w:leftChars="196" w:firstLine="663" w:firstLineChars="200"/>
        <w:rPr>
          <w:rFonts w:eastAsia="方正仿宋_GBK"/>
          <w:bCs/>
          <w:color w:val="000000"/>
          <w:sz w:val="33"/>
          <w:szCs w:val="33"/>
        </w:rPr>
      </w:pPr>
      <w:r>
        <w:rPr>
          <w:rFonts w:eastAsia="方正仿宋_GBK"/>
          <w:b/>
          <w:color w:val="000000"/>
          <w:sz w:val="33"/>
          <w:szCs w:val="33"/>
        </w:rPr>
        <w:t>3.财务管理。</w:t>
      </w:r>
      <w:r>
        <w:rPr>
          <w:rFonts w:eastAsia="方正仿宋_GBK"/>
          <w:bCs/>
          <w:color w:val="000000"/>
          <w:sz w:val="33"/>
          <w:szCs w:val="33"/>
        </w:rPr>
        <w:t xml:space="preserve">根据内部监督控制制度，会计出纳岗位设置合理，职责权限明确，并严格实行不相容岗位分离，部门资金使用符合相关财务管理制度规定。 </w:t>
      </w:r>
    </w:p>
    <w:p>
      <w:pPr>
        <w:suppressAutoHyphens/>
        <w:spacing w:line="576" w:lineRule="exact"/>
        <w:ind w:left="412" w:leftChars="196" w:firstLine="663" w:firstLineChars="200"/>
        <w:rPr>
          <w:rFonts w:eastAsia="方正仿宋_GBK"/>
          <w:bCs/>
          <w:color w:val="000000"/>
          <w:sz w:val="33"/>
          <w:szCs w:val="33"/>
        </w:rPr>
      </w:pPr>
      <w:r>
        <w:rPr>
          <w:rFonts w:eastAsia="方正仿宋_GBK"/>
          <w:b/>
          <w:color w:val="000000"/>
          <w:sz w:val="33"/>
          <w:szCs w:val="33"/>
        </w:rPr>
        <w:t>4.资产管理。</w:t>
      </w:r>
      <w:r>
        <w:rPr>
          <w:rFonts w:eastAsia="方正仿宋_GBK"/>
          <w:bCs/>
          <w:color w:val="000000"/>
          <w:sz w:val="33"/>
          <w:szCs w:val="33"/>
        </w:rPr>
        <w:t>部门严格按照资产管理要求，定期清理盘点固定资产，制作资产领取台账、严把资产关口，确保资产有迹可查、有迹可循。</w:t>
      </w:r>
    </w:p>
    <w:p>
      <w:pPr>
        <w:suppressAutoHyphens/>
        <w:spacing w:line="576" w:lineRule="exact"/>
        <w:ind w:left="412" w:leftChars="196" w:firstLine="663" w:firstLineChars="200"/>
        <w:rPr>
          <w:rFonts w:eastAsia="方正仿宋_GBK"/>
          <w:bCs/>
          <w:color w:val="000000"/>
          <w:sz w:val="33"/>
          <w:szCs w:val="33"/>
        </w:rPr>
      </w:pPr>
      <w:r>
        <w:rPr>
          <w:rFonts w:eastAsia="方正仿宋_GBK"/>
          <w:b/>
          <w:color w:val="000000"/>
          <w:sz w:val="33"/>
          <w:szCs w:val="33"/>
        </w:rPr>
        <w:t>5.采购管理。</w:t>
      </w:r>
      <w:r>
        <w:rPr>
          <w:rFonts w:eastAsia="方正仿宋_GBK"/>
          <w:bCs/>
          <w:color w:val="000000"/>
          <w:sz w:val="33"/>
          <w:szCs w:val="33"/>
        </w:rPr>
        <w:t>部门严格按照政府采购管理要求，2023年政府采购实际支付总金额为0.79万元，主要用于购置本年度必需办公设备。</w:t>
      </w:r>
    </w:p>
    <w:p>
      <w:pPr>
        <w:ind w:firstLine="663" w:firstLineChars="200"/>
        <w:rPr>
          <w:rFonts w:eastAsia="方正楷体_GBK"/>
          <w:sz w:val="33"/>
          <w:szCs w:val="33"/>
          <w:lang w:val="zh-CN"/>
        </w:rPr>
      </w:pPr>
      <w:r>
        <w:rPr>
          <w:rFonts w:eastAsia="方正楷体_GBK"/>
          <w:b/>
          <w:sz w:val="33"/>
          <w:szCs w:val="33"/>
        </w:rPr>
        <w:t>（二）部门预算项目绩效分析。</w:t>
      </w:r>
    </w:p>
    <w:p>
      <w:pPr>
        <w:ind w:firstLine="660" w:firstLineChars="200"/>
        <w:rPr>
          <w:rFonts w:eastAsia="方正仿宋_GBK"/>
          <w:sz w:val="33"/>
          <w:szCs w:val="33"/>
          <w:lang w:val="zh-CN"/>
        </w:rPr>
      </w:pPr>
      <w:r>
        <w:rPr>
          <w:rFonts w:eastAsia="方正仿宋_GBK"/>
          <w:sz w:val="33"/>
          <w:szCs w:val="33"/>
          <w:lang w:val="zh-CN"/>
        </w:rPr>
        <w:t>常年项目绩效分析。该类项目总数</w:t>
      </w:r>
      <w:r>
        <w:rPr>
          <w:rFonts w:eastAsia="方正仿宋_GBK"/>
          <w:sz w:val="33"/>
          <w:szCs w:val="33"/>
        </w:rPr>
        <w:t>4</w:t>
      </w:r>
      <w:r>
        <w:rPr>
          <w:rFonts w:eastAsia="方正仿宋_GBK"/>
          <w:sz w:val="33"/>
          <w:szCs w:val="33"/>
          <w:lang w:val="zh-CN"/>
        </w:rPr>
        <w:t>个，涉及预算总金额</w:t>
      </w:r>
      <w:r>
        <w:rPr>
          <w:rFonts w:eastAsia="方正仿宋_GBK"/>
          <w:sz w:val="33"/>
          <w:szCs w:val="33"/>
        </w:rPr>
        <w:t>1055.5</w:t>
      </w:r>
      <w:r>
        <w:rPr>
          <w:rFonts w:eastAsia="方正仿宋_GBK"/>
          <w:sz w:val="33"/>
          <w:szCs w:val="33"/>
          <w:lang w:val="zh-CN"/>
        </w:rPr>
        <w:t>万元，1—12月预算执行总体进度为</w:t>
      </w:r>
      <w:r>
        <w:rPr>
          <w:rFonts w:eastAsia="方正仿宋_GBK"/>
          <w:sz w:val="33"/>
          <w:szCs w:val="33"/>
        </w:rPr>
        <w:t>100</w:t>
      </w:r>
      <w:r>
        <w:rPr>
          <w:rFonts w:eastAsia="方正仿宋_GBK"/>
          <w:sz w:val="33"/>
          <w:szCs w:val="33"/>
          <w:lang w:val="zh-CN"/>
        </w:rPr>
        <w:t>%，其中：预算结余率大于10%的项目共计</w:t>
      </w:r>
      <w:r>
        <w:rPr>
          <w:rFonts w:hint="eastAsia" w:eastAsia="方正仿宋_GBK"/>
          <w:sz w:val="33"/>
          <w:szCs w:val="33"/>
        </w:rPr>
        <w:t>0</w:t>
      </w:r>
      <w:r>
        <w:rPr>
          <w:rFonts w:eastAsia="方正仿宋_GBK"/>
          <w:sz w:val="33"/>
          <w:szCs w:val="33"/>
          <w:lang w:val="zh-CN"/>
        </w:rPr>
        <w:t>个。</w:t>
      </w:r>
    </w:p>
    <w:p>
      <w:pPr>
        <w:ind w:firstLine="660" w:firstLineChars="200"/>
        <w:rPr>
          <w:rFonts w:eastAsia="方正仿宋_GBK"/>
          <w:sz w:val="33"/>
          <w:szCs w:val="33"/>
          <w:lang w:val="zh-CN"/>
        </w:rPr>
      </w:pPr>
      <w:r>
        <w:rPr>
          <w:rFonts w:eastAsia="方正仿宋_GBK"/>
          <w:sz w:val="33"/>
          <w:szCs w:val="33"/>
          <w:lang w:val="zh-CN"/>
        </w:rPr>
        <w:t>阶段（一次性）项目绩效分析。该类项目总数</w:t>
      </w:r>
      <w:r>
        <w:rPr>
          <w:rFonts w:eastAsia="方正仿宋_GBK"/>
          <w:sz w:val="33"/>
          <w:szCs w:val="33"/>
        </w:rPr>
        <w:t>5</w:t>
      </w:r>
      <w:r>
        <w:rPr>
          <w:rFonts w:eastAsia="方正仿宋_GBK"/>
          <w:sz w:val="33"/>
          <w:szCs w:val="33"/>
          <w:lang w:val="zh-CN"/>
        </w:rPr>
        <w:t>个，涉及预算总金额</w:t>
      </w:r>
      <w:r>
        <w:rPr>
          <w:rFonts w:eastAsia="方正仿宋_GBK"/>
          <w:sz w:val="33"/>
          <w:szCs w:val="33"/>
        </w:rPr>
        <w:t>24.69</w:t>
      </w:r>
      <w:r>
        <w:rPr>
          <w:rFonts w:eastAsia="方正仿宋_GBK"/>
          <w:sz w:val="33"/>
          <w:szCs w:val="33"/>
          <w:lang w:val="zh-CN"/>
        </w:rPr>
        <w:t>万元，1—12月预算执行总体进度为</w:t>
      </w:r>
      <w:r>
        <w:rPr>
          <w:rFonts w:eastAsia="方正仿宋_GBK"/>
          <w:sz w:val="33"/>
          <w:szCs w:val="33"/>
        </w:rPr>
        <w:t>100</w:t>
      </w:r>
      <w:r>
        <w:rPr>
          <w:rFonts w:eastAsia="方正仿宋_GBK"/>
          <w:sz w:val="33"/>
          <w:szCs w:val="33"/>
          <w:lang w:val="zh-CN"/>
        </w:rPr>
        <w:t>%，其中：预算结余率大于10%的项目共计</w:t>
      </w:r>
      <w:r>
        <w:rPr>
          <w:rFonts w:hint="eastAsia" w:eastAsia="方正仿宋_GBK"/>
          <w:sz w:val="33"/>
          <w:szCs w:val="33"/>
        </w:rPr>
        <w:t>0</w:t>
      </w:r>
      <w:r>
        <w:rPr>
          <w:rFonts w:eastAsia="方正仿宋_GBK"/>
          <w:sz w:val="33"/>
          <w:szCs w:val="33"/>
          <w:lang w:val="zh-CN"/>
        </w:rPr>
        <w:t>个。</w:t>
      </w:r>
    </w:p>
    <w:p>
      <w:pPr>
        <w:ind w:firstLine="663" w:firstLineChars="200"/>
        <w:rPr>
          <w:rFonts w:eastAsia="方正仿宋_GBK"/>
          <w:b/>
          <w:bCs/>
          <w:color w:val="000000"/>
          <w:kern w:val="0"/>
          <w:sz w:val="33"/>
          <w:szCs w:val="33"/>
          <w:shd w:val="clear" w:color="auto" w:fill="FFFFFF"/>
        </w:rPr>
      </w:pPr>
      <w:r>
        <w:rPr>
          <w:rFonts w:eastAsia="方正仿宋_GBK"/>
          <w:b/>
          <w:bCs/>
          <w:color w:val="000000"/>
          <w:kern w:val="0"/>
          <w:sz w:val="33"/>
          <w:szCs w:val="33"/>
          <w:shd w:val="clear" w:color="auto" w:fill="FFFFFF"/>
        </w:rPr>
        <w:t>1.项目决策。</w:t>
      </w:r>
    </w:p>
    <w:p>
      <w:pPr>
        <w:ind w:firstLine="660" w:firstLineChars="200"/>
        <w:rPr>
          <w:rFonts w:eastAsia="方正仿宋_GBK"/>
          <w:sz w:val="33"/>
          <w:szCs w:val="33"/>
        </w:rPr>
      </w:pPr>
      <w:r>
        <w:rPr>
          <w:rFonts w:eastAsia="方正仿宋_GBK"/>
          <w:sz w:val="33"/>
          <w:szCs w:val="33"/>
        </w:rPr>
        <w:t>①决策程序上，部门预算阶段项目（含一次性项目）共</w:t>
      </w:r>
      <w:r>
        <w:rPr>
          <w:rFonts w:hint="eastAsia" w:eastAsia="方正仿宋_GBK"/>
          <w:sz w:val="33"/>
          <w:szCs w:val="33"/>
        </w:rPr>
        <w:t>7</w:t>
      </w:r>
      <w:r>
        <w:rPr>
          <w:rFonts w:eastAsia="方正仿宋_GBK"/>
          <w:sz w:val="33"/>
          <w:szCs w:val="33"/>
        </w:rPr>
        <w:t>个， 其中未履行事前评估程序的</w:t>
      </w:r>
      <w:r>
        <w:rPr>
          <w:rFonts w:hint="eastAsia" w:eastAsia="方正仿宋_GBK"/>
          <w:sz w:val="33"/>
          <w:szCs w:val="33"/>
        </w:rPr>
        <w:t>0</w:t>
      </w:r>
      <w:r>
        <w:rPr>
          <w:rFonts w:eastAsia="方正仿宋_GBK"/>
          <w:sz w:val="33"/>
          <w:szCs w:val="33"/>
        </w:rPr>
        <w:t xml:space="preserve">个。 </w:t>
      </w:r>
    </w:p>
    <w:p>
      <w:pPr>
        <w:ind w:firstLine="660" w:firstLineChars="200"/>
        <w:rPr>
          <w:rFonts w:eastAsia="方正仿宋_GBK"/>
          <w:sz w:val="33"/>
          <w:szCs w:val="33"/>
        </w:rPr>
      </w:pPr>
      <w:r>
        <w:rPr>
          <w:rFonts w:eastAsia="方正仿宋_GBK"/>
          <w:sz w:val="33"/>
          <w:szCs w:val="33"/>
        </w:rPr>
        <w:t>②目标设置上，预算安排匹配部门预算阶段项目 （含一次性项目</w:t>
      </w:r>
      <w:r>
        <w:rPr>
          <w:rFonts w:hint="eastAsia" w:eastAsia="方正仿宋_GBK"/>
          <w:sz w:val="33"/>
          <w:szCs w:val="33"/>
        </w:rPr>
        <w:t>）。</w:t>
      </w:r>
    </w:p>
    <w:p>
      <w:pPr>
        <w:ind w:firstLine="660" w:firstLineChars="200"/>
        <w:rPr>
          <w:rFonts w:eastAsia="方正仿宋_GBK"/>
          <w:sz w:val="33"/>
          <w:szCs w:val="33"/>
        </w:rPr>
      </w:pPr>
      <w:r>
        <w:rPr>
          <w:rFonts w:eastAsia="方正仿宋_GBK"/>
          <w:sz w:val="33"/>
          <w:szCs w:val="33"/>
        </w:rPr>
        <w:t>③项目入库上，部门预算阶段项目入库均在规定时间内完成。</w:t>
      </w:r>
    </w:p>
    <w:p>
      <w:pPr>
        <w:ind w:firstLine="663" w:firstLineChars="200"/>
        <w:rPr>
          <w:rFonts w:eastAsia="方正仿宋_GBK"/>
          <w:b/>
          <w:bCs/>
          <w:color w:val="000000"/>
          <w:kern w:val="0"/>
          <w:sz w:val="33"/>
          <w:szCs w:val="33"/>
          <w:shd w:val="clear" w:color="auto" w:fill="FFFFFF"/>
        </w:rPr>
      </w:pPr>
      <w:r>
        <w:rPr>
          <w:rFonts w:eastAsia="方正仿宋_GBK"/>
          <w:b/>
          <w:bCs/>
          <w:color w:val="000000"/>
          <w:kern w:val="0"/>
          <w:sz w:val="33"/>
          <w:szCs w:val="33"/>
          <w:shd w:val="clear" w:color="auto" w:fill="FFFFFF"/>
        </w:rPr>
        <w:t>2.项目执行。</w:t>
      </w:r>
    </w:p>
    <w:p>
      <w:pPr>
        <w:ind w:firstLine="660" w:firstLineChars="200"/>
        <w:rPr>
          <w:rFonts w:eastAsia="方正仿宋_GBK"/>
          <w:sz w:val="33"/>
          <w:szCs w:val="33"/>
          <w:lang w:val="zh-CN"/>
        </w:rPr>
      </w:pPr>
      <w:r>
        <w:rPr>
          <w:rFonts w:eastAsia="方正仿宋_GBK"/>
          <w:sz w:val="33"/>
          <w:szCs w:val="33"/>
          <w:lang w:val="zh-CN"/>
        </w:rPr>
        <w:t xml:space="preserve">①资金执行同向上，部门预算阶段项目（含一次性项目）实际列支内容均与绩效目标设置方向相符，不存在不相符的情况。 </w:t>
      </w:r>
    </w:p>
    <w:p>
      <w:pPr>
        <w:ind w:firstLine="660" w:firstLineChars="200"/>
        <w:rPr>
          <w:rFonts w:eastAsia="方正仿宋_GBK"/>
          <w:sz w:val="33"/>
          <w:szCs w:val="33"/>
          <w:lang w:val="zh-CN"/>
        </w:rPr>
      </w:pPr>
      <w:r>
        <w:rPr>
          <w:rFonts w:eastAsia="方正仿宋_GBK"/>
          <w:sz w:val="33"/>
          <w:szCs w:val="33"/>
          <w:lang w:val="zh-CN"/>
        </w:rPr>
        <w:t xml:space="preserve">②项目调整上，不存在应采取未采取收回预算、调整目标等处置措施的部门预算阶段项目（含一次性项目）。 </w:t>
      </w:r>
    </w:p>
    <w:p>
      <w:pPr>
        <w:ind w:firstLine="660" w:firstLineChars="200"/>
        <w:rPr>
          <w:rFonts w:eastAsia="方正仿宋_GBK"/>
          <w:sz w:val="33"/>
          <w:szCs w:val="33"/>
        </w:rPr>
      </w:pPr>
      <w:r>
        <w:rPr>
          <w:rFonts w:eastAsia="方正仿宋_GBK"/>
          <w:sz w:val="33"/>
          <w:szCs w:val="33"/>
          <w:lang w:val="zh-CN"/>
        </w:rPr>
        <w:t>③执行结果上，部门预算阶段项目（含一次性项目）预算结余率</w:t>
      </w:r>
      <w:r>
        <w:rPr>
          <w:rFonts w:hint="eastAsia" w:eastAsia="方正仿宋_GBK"/>
          <w:sz w:val="33"/>
          <w:szCs w:val="33"/>
        </w:rPr>
        <w:t>均</w:t>
      </w:r>
      <w:r>
        <w:rPr>
          <w:rFonts w:eastAsia="方正仿宋_GBK"/>
          <w:sz w:val="33"/>
          <w:szCs w:val="33"/>
          <w:lang w:val="zh-CN"/>
        </w:rPr>
        <w:t>小于10%</w:t>
      </w:r>
      <w:r>
        <w:rPr>
          <w:rFonts w:hint="eastAsia" w:eastAsia="方正仿宋_GBK"/>
          <w:sz w:val="33"/>
          <w:szCs w:val="33"/>
          <w:lang w:val="zh-CN"/>
        </w:rPr>
        <w:t>。</w:t>
      </w:r>
    </w:p>
    <w:p>
      <w:pPr>
        <w:ind w:firstLine="663" w:firstLineChars="200"/>
        <w:rPr>
          <w:rFonts w:eastAsia="方正仿宋_GBK"/>
          <w:b/>
          <w:bCs/>
          <w:color w:val="000000"/>
          <w:kern w:val="0"/>
          <w:sz w:val="33"/>
          <w:szCs w:val="33"/>
          <w:shd w:val="clear" w:color="auto" w:fill="FFFFFF"/>
        </w:rPr>
      </w:pPr>
      <w:r>
        <w:rPr>
          <w:rFonts w:eastAsia="方正仿宋_GBK"/>
          <w:b/>
          <w:bCs/>
          <w:color w:val="000000"/>
          <w:kern w:val="0"/>
          <w:sz w:val="33"/>
          <w:szCs w:val="33"/>
          <w:shd w:val="clear" w:color="auto" w:fill="FFFFFF"/>
        </w:rPr>
        <w:t>3.目标实现。</w:t>
      </w:r>
    </w:p>
    <w:p>
      <w:pPr>
        <w:ind w:firstLine="660" w:firstLineChars="200"/>
        <w:rPr>
          <w:rFonts w:eastAsia="方正仿宋_GBK"/>
          <w:sz w:val="33"/>
          <w:szCs w:val="33"/>
          <w:lang w:val="zh-CN"/>
        </w:rPr>
      </w:pPr>
      <w:r>
        <w:rPr>
          <w:rFonts w:eastAsia="方正仿宋_GBK"/>
          <w:sz w:val="33"/>
          <w:szCs w:val="33"/>
          <w:lang w:val="zh-CN"/>
        </w:rPr>
        <w:t>①目标完成上，部门预算阶段项目（含一次性项目）</w:t>
      </w:r>
      <w:r>
        <w:rPr>
          <w:rFonts w:hint="eastAsia" w:eastAsia="方正仿宋_GBK"/>
          <w:sz w:val="33"/>
          <w:szCs w:val="33"/>
        </w:rPr>
        <w:t>均完成目标</w:t>
      </w:r>
      <w:r>
        <w:rPr>
          <w:rFonts w:eastAsia="方正仿宋_GBK"/>
          <w:sz w:val="33"/>
          <w:szCs w:val="33"/>
          <w:lang w:val="zh-CN"/>
        </w:rPr>
        <w:t>。</w:t>
      </w:r>
    </w:p>
    <w:p>
      <w:pPr>
        <w:ind w:firstLine="660" w:firstLineChars="200"/>
        <w:rPr>
          <w:rFonts w:eastAsia="方正仿宋_GBK"/>
          <w:sz w:val="33"/>
          <w:szCs w:val="33"/>
        </w:rPr>
      </w:pPr>
      <w:r>
        <w:rPr>
          <w:rFonts w:eastAsia="方正仿宋_GBK"/>
          <w:sz w:val="33"/>
          <w:szCs w:val="33"/>
          <w:lang w:val="zh-CN"/>
        </w:rPr>
        <w:t>②目标偏离上，部门预算阶段项目（含一次性项目）所有已完成预期指标值的数量指标中偏离度均在</w:t>
      </w:r>
      <w:r>
        <w:rPr>
          <w:rFonts w:hint="eastAsia" w:eastAsia="方正仿宋_GBK"/>
          <w:sz w:val="33"/>
          <w:szCs w:val="33"/>
        </w:rPr>
        <w:t>10</w:t>
      </w:r>
      <w:r>
        <w:rPr>
          <w:rFonts w:eastAsia="方正仿宋_GBK"/>
          <w:sz w:val="33"/>
          <w:szCs w:val="33"/>
          <w:lang w:val="zh-CN"/>
        </w:rPr>
        <w:t>%</w:t>
      </w:r>
      <w:r>
        <w:rPr>
          <w:rFonts w:hint="eastAsia" w:eastAsia="方正仿宋_GBK"/>
          <w:sz w:val="33"/>
          <w:szCs w:val="33"/>
        </w:rPr>
        <w:t>以</w:t>
      </w:r>
      <w:r>
        <w:rPr>
          <w:rFonts w:eastAsia="方正仿宋_GBK"/>
          <w:sz w:val="33"/>
          <w:szCs w:val="33"/>
          <w:lang w:val="zh-CN"/>
        </w:rPr>
        <w:t xml:space="preserve">内。 </w:t>
      </w:r>
      <w:r>
        <w:rPr>
          <w:rFonts w:hint="eastAsia" w:eastAsia="方正仿宋_GBK"/>
          <w:sz w:val="33"/>
          <w:szCs w:val="33"/>
        </w:rPr>
        <w:t xml:space="preserve">   </w:t>
      </w:r>
    </w:p>
    <w:p>
      <w:pPr>
        <w:ind w:firstLine="660" w:firstLineChars="200"/>
        <w:rPr>
          <w:rFonts w:eastAsia="方正仿宋_GBK"/>
          <w:sz w:val="33"/>
          <w:szCs w:val="33"/>
          <w:lang w:val="zh-CN"/>
        </w:rPr>
      </w:pPr>
      <w:r>
        <w:rPr>
          <w:rFonts w:eastAsia="方正仿宋_GBK"/>
          <w:sz w:val="33"/>
          <w:szCs w:val="33"/>
          <w:lang w:val="zh-CN"/>
        </w:rPr>
        <w:t>③实现效果上，部门预算阶段项目（含一次性项目）均已完成绩效目标效益指标。</w:t>
      </w:r>
    </w:p>
    <w:p>
      <w:pPr>
        <w:ind w:firstLine="663" w:firstLineChars="200"/>
        <w:rPr>
          <w:rFonts w:ascii="楷体_GB2312" w:eastAsia="楷体_GB2312"/>
          <w:b/>
          <w:sz w:val="33"/>
          <w:szCs w:val="33"/>
        </w:rPr>
      </w:pPr>
      <w:r>
        <w:rPr>
          <w:rFonts w:hint="eastAsia" w:ascii="方正楷体_GBK" w:hAnsi="方正楷体_GBK" w:eastAsia="方正楷体_GBK" w:cs="方正楷体_GBK"/>
          <w:b/>
          <w:sz w:val="33"/>
          <w:szCs w:val="33"/>
        </w:rPr>
        <w:t>（三）重点领域绩效分析。</w:t>
      </w:r>
    </w:p>
    <w:p>
      <w:pPr>
        <w:ind w:firstLine="663" w:firstLineChars="200"/>
        <w:rPr>
          <w:rFonts w:eastAsia="方正仿宋_GB2312"/>
          <w:sz w:val="33"/>
          <w:szCs w:val="33"/>
        </w:rPr>
      </w:pPr>
      <w:r>
        <w:rPr>
          <w:rFonts w:hint="eastAsia" w:ascii="方正仿宋_GBK" w:hAnsi="方正仿宋_GBK" w:eastAsia="方正仿宋_GBK" w:cs="方正仿宋_GBK"/>
          <w:b/>
          <w:bCs/>
          <w:sz w:val="33"/>
          <w:szCs w:val="33"/>
        </w:rPr>
        <w:t>政府采购和政府购买服务</w:t>
      </w:r>
      <w:r>
        <w:rPr>
          <w:rFonts w:hint="eastAsia" w:ascii="方正仿宋_GBK" w:hAnsi="方正仿宋_GBK" w:eastAsia="方正仿宋_GBK" w:cs="方正仿宋_GBK"/>
          <w:sz w:val="33"/>
          <w:szCs w:val="33"/>
        </w:rPr>
        <w:t>：本部门严格按照《四川省政府集中采购目录及标准》的要求进行政府采购</w:t>
      </w:r>
      <w:r>
        <w:rPr>
          <w:rFonts w:eastAsia="方正仿宋_GBK"/>
          <w:sz w:val="33"/>
          <w:szCs w:val="33"/>
        </w:rPr>
        <w:t>，2023</w:t>
      </w:r>
      <w:r>
        <w:rPr>
          <w:rFonts w:hint="eastAsia" w:ascii="方正仿宋_GBK" w:hAnsi="方正仿宋_GBK" w:eastAsia="方正仿宋_GBK" w:cs="方正仿宋_GBK"/>
          <w:sz w:val="33"/>
          <w:szCs w:val="33"/>
        </w:rPr>
        <w:t>年度</w:t>
      </w:r>
      <w:r>
        <w:rPr>
          <w:rFonts w:hint="eastAsia" w:eastAsia="方正仿宋_GB2312"/>
          <w:sz w:val="33"/>
          <w:szCs w:val="33"/>
          <w:lang w:val="zh-CN"/>
        </w:rPr>
        <w:t>省级部门2023年度</w:t>
      </w:r>
      <w:r>
        <w:rPr>
          <w:rFonts w:eastAsia="方正仿宋_GBK"/>
          <w:sz w:val="33"/>
          <w:szCs w:val="33"/>
        </w:rPr>
        <w:t>政府采购支出总额0.79万元，其中：政府采购货物支出0.79万元、政府采购工程支出0万元、政府采购服务支出0万元</w:t>
      </w:r>
      <w:r>
        <w:rPr>
          <w:rFonts w:hint="eastAsia" w:eastAsia="方正仿宋_GBK"/>
          <w:sz w:val="33"/>
          <w:szCs w:val="33"/>
        </w:rPr>
        <w:t>，</w:t>
      </w:r>
      <w:r>
        <w:rPr>
          <w:rFonts w:eastAsia="方正仿宋_GBK"/>
          <w:sz w:val="33"/>
          <w:szCs w:val="33"/>
        </w:rPr>
        <w:t>主要用于购买所需办公设备。</w:t>
      </w:r>
      <w:r>
        <w:rPr>
          <w:rFonts w:hint="eastAsia" w:eastAsia="方正仿宋_GB2312"/>
          <w:sz w:val="33"/>
          <w:szCs w:val="33"/>
        </w:rPr>
        <w:t xml:space="preserve"> </w:t>
      </w:r>
    </w:p>
    <w:p>
      <w:pPr>
        <w:ind w:firstLine="660" w:firstLineChars="200"/>
        <w:rPr>
          <w:rFonts w:hint="eastAsia"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rPr>
        <w:t>本部门未</w:t>
      </w:r>
      <w:r>
        <w:rPr>
          <w:rFonts w:hint="eastAsia" w:ascii="方正仿宋_GBK" w:hAnsi="方正仿宋_GBK" w:eastAsia="方正仿宋_GBK" w:cs="方正仿宋_GBK"/>
          <w:sz w:val="33"/>
          <w:szCs w:val="33"/>
          <w:lang w:val="zh-CN"/>
        </w:rPr>
        <w:t>涉及国有资本、行政事业性国有资产、债券资金等重点领域。</w:t>
      </w:r>
    </w:p>
    <w:p>
      <w:pPr>
        <w:ind w:firstLine="663" w:firstLineChars="200"/>
        <w:rPr>
          <w:rFonts w:hint="eastAsia" w:ascii="方正楷体_GBK" w:hAnsi="方正楷体_GBK" w:eastAsia="方正楷体_GBK" w:cs="方正楷体_GBK"/>
          <w:b/>
          <w:sz w:val="33"/>
          <w:szCs w:val="33"/>
        </w:rPr>
      </w:pPr>
      <w:r>
        <w:rPr>
          <w:rFonts w:hint="eastAsia" w:ascii="方正楷体_GBK" w:hAnsi="方正楷体_GBK" w:eastAsia="方正楷体_GBK" w:cs="方正楷体_GBK"/>
          <w:b/>
          <w:sz w:val="33"/>
          <w:szCs w:val="33"/>
        </w:rPr>
        <w:t>（四）绩效结果应用情况。</w:t>
      </w:r>
    </w:p>
    <w:p>
      <w:pPr>
        <w:ind w:firstLine="663" w:firstLineChars="200"/>
        <w:rPr>
          <w:rFonts w:eastAsia="方正仿宋_GBK"/>
          <w:sz w:val="33"/>
          <w:szCs w:val="33"/>
          <w:lang w:val="zh-CN"/>
        </w:rPr>
      </w:pPr>
      <w:r>
        <w:rPr>
          <w:rFonts w:eastAsia="方正仿宋_GBK"/>
          <w:b/>
          <w:bCs/>
          <w:sz w:val="33"/>
          <w:szCs w:val="33"/>
          <w:lang w:val="zh-CN"/>
        </w:rPr>
        <w:t>1.内部应用。</w:t>
      </w:r>
      <w:r>
        <w:rPr>
          <w:rFonts w:eastAsia="方正仿宋_GBK"/>
          <w:sz w:val="33"/>
          <w:szCs w:val="33"/>
          <w:lang w:val="zh-CN"/>
        </w:rPr>
        <w:t>在预算事前绩效评估、绩效监控和自评结果应用的基础上，</w:t>
      </w:r>
      <w:r>
        <w:rPr>
          <w:rFonts w:eastAsia="方正仿宋_GBK"/>
          <w:sz w:val="33"/>
          <w:szCs w:val="33"/>
        </w:rPr>
        <w:t>将项目绩效目标结果与预算安排相结合，积极督促各室（部）</w:t>
      </w:r>
      <w:r>
        <w:rPr>
          <w:rFonts w:eastAsia="方正仿宋_GBK"/>
          <w:sz w:val="33"/>
          <w:szCs w:val="33"/>
          <w:lang w:val="zh-CN"/>
        </w:rPr>
        <w:t xml:space="preserve">履行绩效管理主体责任，提高绩效目标编报质量。 </w:t>
      </w:r>
    </w:p>
    <w:p>
      <w:pPr>
        <w:ind w:firstLine="663" w:firstLineChars="200"/>
        <w:rPr>
          <w:rFonts w:eastAsia="方正仿宋_GBK"/>
          <w:sz w:val="33"/>
          <w:szCs w:val="33"/>
          <w:lang w:val="zh-CN"/>
        </w:rPr>
      </w:pPr>
      <w:r>
        <w:rPr>
          <w:rFonts w:eastAsia="方正仿宋_GBK"/>
          <w:b/>
          <w:bCs/>
          <w:sz w:val="33"/>
          <w:szCs w:val="33"/>
          <w:lang w:val="zh-CN"/>
        </w:rPr>
        <w:t>2.信息公开。</w:t>
      </w:r>
      <w:r>
        <w:rPr>
          <w:rFonts w:eastAsia="方正仿宋_GBK"/>
          <w:sz w:val="33"/>
          <w:szCs w:val="33"/>
          <w:lang w:val="zh-CN"/>
        </w:rPr>
        <w:t>按照相关要求，</w:t>
      </w:r>
      <w:r>
        <w:rPr>
          <w:rFonts w:eastAsia="方正仿宋_GBK"/>
          <w:sz w:val="33"/>
          <w:szCs w:val="33"/>
        </w:rPr>
        <w:t>本部门</w:t>
      </w:r>
      <w:r>
        <w:rPr>
          <w:rFonts w:eastAsia="方正仿宋_GBK"/>
          <w:sz w:val="33"/>
          <w:szCs w:val="33"/>
          <w:lang w:val="zh-CN"/>
        </w:rPr>
        <w:t>在规定时限内在门户网站上公开了部门预决算信息、“三公经费”信息等情况，主动接受社会监督。</w:t>
      </w:r>
    </w:p>
    <w:p>
      <w:pPr>
        <w:ind w:firstLine="663" w:firstLineChars="200"/>
        <w:rPr>
          <w:rFonts w:eastAsia="方正仿宋_GBK"/>
          <w:sz w:val="33"/>
          <w:szCs w:val="33"/>
          <w:lang w:val="zh-CN"/>
        </w:rPr>
      </w:pPr>
      <w:r>
        <w:rPr>
          <w:rFonts w:eastAsia="方正仿宋_GBK"/>
          <w:b/>
          <w:bCs/>
          <w:sz w:val="33"/>
          <w:szCs w:val="33"/>
          <w:lang w:val="zh-CN"/>
        </w:rPr>
        <w:t>3.整改反馈情况。</w:t>
      </w:r>
      <w:r>
        <w:rPr>
          <w:rFonts w:eastAsia="方正仿宋_GBK"/>
          <w:sz w:val="33"/>
          <w:szCs w:val="33"/>
          <w:lang w:val="zh-CN"/>
        </w:rPr>
        <w:t>通过2023年度绩效自评工作，全面掌握部门整体支出情况存在的问题，我们将不断加强内部管理，</w:t>
      </w:r>
      <w:r>
        <w:rPr>
          <w:rFonts w:eastAsia="方正仿宋_GBK"/>
          <w:sz w:val="33"/>
          <w:szCs w:val="33"/>
        </w:rPr>
        <w:t>严格按照部门预算进行部门整体支出，涉及“三重一大”事项全部经过市纪委常委会、市监委主任会或书记办公会审议，依据相应的资金管理办法切实做到了项目资金专项专用，无截留、无挪用等违规现象，</w:t>
      </w:r>
      <w:r>
        <w:rPr>
          <w:rFonts w:eastAsia="方正仿宋_GBK"/>
          <w:sz w:val="33"/>
          <w:szCs w:val="33"/>
          <w:lang w:val="zh-CN"/>
        </w:rPr>
        <w:t>切实提高财政资金使用效益。</w:t>
      </w:r>
    </w:p>
    <w:p>
      <w:pPr>
        <w:ind w:firstLine="660" w:firstLineChars="200"/>
        <w:rPr>
          <w:rFonts w:hint="eastAsia" w:ascii="黑体" w:hAnsi="黑体" w:eastAsia="黑体"/>
          <w:sz w:val="33"/>
          <w:szCs w:val="33"/>
        </w:rPr>
      </w:pPr>
      <w:r>
        <w:rPr>
          <w:rFonts w:hint="eastAsia" w:ascii="黑体" w:hAnsi="黑体" w:eastAsia="黑体"/>
          <w:sz w:val="33"/>
          <w:szCs w:val="33"/>
        </w:rPr>
        <w:t>四、评价结论及建议</w:t>
      </w:r>
    </w:p>
    <w:p>
      <w:pPr>
        <w:spacing w:line="576" w:lineRule="exact"/>
        <w:ind w:firstLine="640"/>
        <w:rPr>
          <w:rFonts w:eastAsia="方正仿宋_GBK"/>
          <w:sz w:val="33"/>
          <w:szCs w:val="33"/>
          <w:lang w:val="zh-CN"/>
        </w:rPr>
      </w:pPr>
      <w:r>
        <w:rPr>
          <w:rFonts w:hint="eastAsia" w:ascii="方正楷体_GBK" w:hAnsi="方正楷体_GBK" w:eastAsia="方正楷体_GBK" w:cs="方正楷体_GBK"/>
          <w:b/>
          <w:bCs/>
          <w:sz w:val="33"/>
          <w:szCs w:val="33"/>
        </w:rPr>
        <w:t>（一）评价结论。</w:t>
      </w:r>
      <w:r>
        <w:rPr>
          <w:rFonts w:eastAsia="方正仿宋_GBK"/>
          <w:sz w:val="33"/>
          <w:szCs w:val="33"/>
          <w:lang w:val="zh-CN"/>
        </w:rPr>
        <w:t>本单位支出绩效总体良好，各项目标达到了相应时期执行进度，各项目经费按预算实施，使财政收支预算执行都得到了良好的制度保障和实施效果。</w:t>
      </w:r>
    </w:p>
    <w:p>
      <w:pPr>
        <w:spacing w:line="576" w:lineRule="exact"/>
        <w:ind w:firstLine="64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（二）存在问题。</w:t>
      </w:r>
      <w:r>
        <w:rPr>
          <w:rFonts w:hint="eastAsia" w:ascii="方正仿宋_GBK" w:hAnsi="方正仿宋_GBK" w:eastAsia="方正仿宋_GBK" w:cs="方正仿宋_GBK"/>
          <w:sz w:val="33"/>
          <w:szCs w:val="33"/>
        </w:rPr>
        <w:t>上半年预算执行进度缓慢、绩效目标细化量化不够、监控工作力度较弱。</w:t>
      </w:r>
    </w:p>
    <w:p>
      <w:pPr>
        <w:spacing w:line="576" w:lineRule="exact"/>
        <w:ind w:firstLine="640"/>
        <w:rPr>
          <w:rFonts w:eastAsia="方正仿宋_GBK"/>
          <w:sz w:val="33"/>
          <w:szCs w:val="33"/>
        </w:rPr>
      </w:pPr>
      <w:r>
        <w:rPr>
          <w:rFonts w:hint="eastAsia" w:ascii="方正楷体_GBK" w:hAnsi="方正楷体_GBK" w:eastAsia="方正楷体_GBK" w:cs="方正楷体_GBK"/>
          <w:b/>
          <w:bCs/>
          <w:sz w:val="33"/>
          <w:szCs w:val="33"/>
        </w:rPr>
        <w:t>（三）改进建议。</w:t>
      </w:r>
      <w:r>
        <w:rPr>
          <w:rFonts w:eastAsia="方正仿宋_GBK"/>
          <w:sz w:val="33"/>
          <w:szCs w:val="33"/>
        </w:rPr>
        <w:t>针对预算执行进度问题，我</w:t>
      </w:r>
      <w:r>
        <w:rPr>
          <w:rFonts w:hint="eastAsia" w:eastAsia="方正仿宋_GBK"/>
          <w:sz w:val="33"/>
          <w:szCs w:val="33"/>
        </w:rPr>
        <w:t>部门</w:t>
      </w:r>
      <w:r>
        <w:rPr>
          <w:rFonts w:eastAsia="方正仿宋_GBK"/>
          <w:sz w:val="33"/>
          <w:szCs w:val="33"/>
        </w:rPr>
        <w:t>将严格落实各室</w:t>
      </w:r>
      <w:r>
        <w:rPr>
          <w:rFonts w:hint="eastAsia" w:eastAsia="方正仿宋_GBK"/>
          <w:sz w:val="33"/>
          <w:szCs w:val="33"/>
        </w:rPr>
        <w:t>（</w:t>
      </w:r>
      <w:r>
        <w:rPr>
          <w:rFonts w:eastAsia="方正仿宋_GBK"/>
          <w:sz w:val="33"/>
          <w:szCs w:val="33"/>
        </w:rPr>
        <w:t>部</w:t>
      </w:r>
      <w:r>
        <w:rPr>
          <w:rFonts w:hint="eastAsia" w:eastAsia="方正仿宋_GBK"/>
          <w:sz w:val="33"/>
          <w:szCs w:val="33"/>
        </w:rPr>
        <w:t>）</w:t>
      </w:r>
      <w:r>
        <w:rPr>
          <w:rFonts w:eastAsia="方正仿宋_GBK"/>
          <w:sz w:val="33"/>
          <w:szCs w:val="33"/>
        </w:rPr>
        <w:t>预算主体责任，督促各室</w:t>
      </w:r>
      <w:r>
        <w:rPr>
          <w:rFonts w:hint="eastAsia" w:eastAsia="方正仿宋_GBK"/>
          <w:sz w:val="33"/>
          <w:szCs w:val="33"/>
        </w:rPr>
        <w:t>（</w:t>
      </w:r>
      <w:r>
        <w:rPr>
          <w:rFonts w:eastAsia="方正仿宋_GBK"/>
          <w:sz w:val="33"/>
          <w:szCs w:val="33"/>
        </w:rPr>
        <w:t>部</w:t>
      </w:r>
      <w:r>
        <w:rPr>
          <w:rFonts w:hint="eastAsia" w:eastAsia="方正仿宋_GBK"/>
          <w:sz w:val="33"/>
          <w:szCs w:val="33"/>
        </w:rPr>
        <w:t>）</w:t>
      </w:r>
      <w:r>
        <w:rPr>
          <w:rFonts w:eastAsia="方正仿宋_GBK"/>
          <w:sz w:val="33"/>
          <w:szCs w:val="33"/>
        </w:rPr>
        <w:t>根据项目实施情况及时调整执行进度。同时，借助信息技术手段，创新预算绩效结果应用方式，在事前绩效评估、绩效运行监控、绩效评价、结果应用等方面，充分运用专业化、定量化分析工具和方法推动绩效结果应用，压实行政运行成本，提高财政资金的使用效率。</w:t>
      </w:r>
    </w:p>
    <w:p>
      <w:pPr>
        <w:ind w:firstLine="660" w:firstLineChars="200"/>
        <w:rPr>
          <w:rFonts w:eastAsia="方正仿宋_GBK"/>
          <w:sz w:val="33"/>
          <w:szCs w:val="33"/>
          <w:lang w:val="zh-CN"/>
        </w:rPr>
      </w:pPr>
    </w:p>
    <w:p>
      <w:pPr>
        <w:ind w:firstLine="660" w:firstLineChars="200"/>
        <w:rPr>
          <w:rFonts w:hint="default" w:eastAsia="方正仿宋_GBK"/>
          <w:sz w:val="33"/>
          <w:szCs w:val="33"/>
          <w:lang w:val="en-US" w:eastAsia="zh-CN"/>
        </w:rPr>
      </w:pPr>
      <w:r>
        <w:rPr>
          <w:rFonts w:eastAsia="方正仿宋_GBK"/>
          <w:sz w:val="33"/>
          <w:szCs w:val="33"/>
        </w:rPr>
        <w:t>部门</w:t>
      </w:r>
      <w:r>
        <w:rPr>
          <w:rFonts w:eastAsia="方正仿宋_GBK"/>
          <w:sz w:val="33"/>
          <w:szCs w:val="33"/>
          <w:lang w:val="zh-CN"/>
        </w:rPr>
        <w:t>预算项目支出绩效自评表（2023年度）</w:t>
      </w:r>
      <w:r>
        <w:rPr>
          <w:rFonts w:hint="eastAsia" w:eastAsia="方正仿宋_GBK"/>
          <w:sz w:val="33"/>
          <w:szCs w:val="33"/>
          <w:lang w:val="en-US" w:eastAsia="zh-CN"/>
        </w:rPr>
        <w:t>见附件3</w:t>
      </w:r>
      <w:bookmarkStart w:id="92" w:name="_GoBack"/>
      <w:bookmarkEnd w:id="92"/>
    </w:p>
    <w:p>
      <w:pPr>
        <w:rPr>
          <w:sz w:val="33"/>
          <w:szCs w:val="33"/>
        </w:rPr>
      </w:pPr>
    </w:p>
    <w:p>
      <w:pPr>
        <w:pStyle w:val="2"/>
        <w:rPr>
          <w:sz w:val="33"/>
          <w:szCs w:val="33"/>
        </w:rPr>
      </w:pPr>
    </w:p>
    <w:p>
      <w:pPr>
        <w:pStyle w:val="2"/>
        <w:rPr>
          <w:sz w:val="33"/>
          <w:szCs w:val="33"/>
        </w:rPr>
      </w:pPr>
    </w:p>
    <w:p>
      <w:pPr>
        <w:rPr>
          <w:sz w:val="33"/>
          <w:szCs w:val="33"/>
        </w:rPr>
      </w:pPr>
    </w:p>
    <w:p>
      <w:pPr>
        <w:rPr>
          <w:rFonts w:hint="default" w:ascii="Times New Roman" w:hAnsi="Times New Roman" w:eastAsia="黑体" w:cs="Times New Roman"/>
          <w:sz w:val="33"/>
          <w:szCs w:val="33"/>
        </w:rPr>
      </w:pPr>
      <w:r>
        <w:rPr>
          <w:rFonts w:hint="default" w:ascii="Times New Roman" w:hAnsi="Times New Roman" w:eastAsia="黑体" w:cs="Times New Roman"/>
          <w:sz w:val="33"/>
          <w:szCs w:val="33"/>
        </w:rPr>
        <w:t>附件2</w:t>
      </w:r>
    </w:p>
    <w:p>
      <w:pPr>
        <w:jc w:val="center"/>
        <w:rPr>
          <w:rFonts w:hint="eastAsia" w:ascii="方正小标宋简体" w:hAnsi="方正小标宋简体" w:eastAsia="方正小标宋简体"/>
          <w:sz w:val="33"/>
          <w:szCs w:val="33"/>
        </w:rPr>
      </w:pPr>
      <w:r>
        <w:rPr>
          <w:rFonts w:hint="eastAsia" w:ascii="方正小标宋简体" w:hAnsi="方正小标宋简体" w:eastAsia="方正小标宋简体"/>
          <w:sz w:val="33"/>
          <w:szCs w:val="33"/>
        </w:rPr>
        <w:t>专项预算项目绩效评价报告</w:t>
      </w:r>
    </w:p>
    <w:p>
      <w:pPr>
        <w:pStyle w:val="2"/>
        <w:ind w:firstLine="2640" w:firstLineChars="800"/>
        <w:jc w:val="left"/>
        <w:rPr>
          <w:rFonts w:hint="eastAsia" w:eastAsia="方正小标宋简体"/>
          <w:lang w:eastAsia="zh-CN"/>
        </w:rPr>
      </w:pPr>
      <w:r>
        <w:rPr>
          <w:rFonts w:hint="eastAsia" w:ascii="方正小标宋简体" w:hAnsi="方正小标宋简体" w:eastAsia="方正小标宋简体"/>
          <w:sz w:val="33"/>
          <w:szCs w:val="33"/>
          <w:lang w:eastAsia="zh-CN"/>
        </w:rPr>
        <w:t>（</w:t>
      </w:r>
      <w:r>
        <w:rPr>
          <w:rFonts w:hint="eastAsia" w:ascii="方正小标宋简体" w:hAnsi="方正小标宋简体" w:eastAsia="方正小标宋简体"/>
          <w:sz w:val="33"/>
          <w:szCs w:val="33"/>
          <w:lang w:val="en-US" w:eastAsia="zh-CN"/>
        </w:rPr>
        <w:t>监委工作经费</w:t>
      </w:r>
      <w:r>
        <w:rPr>
          <w:rFonts w:hint="eastAsia" w:ascii="方正小标宋简体" w:hAnsi="方正小标宋简体" w:eastAsia="方正小标宋简体"/>
          <w:sz w:val="33"/>
          <w:szCs w:val="33"/>
          <w:lang w:eastAsia="zh-CN"/>
        </w:rPr>
        <w:t>）</w:t>
      </w:r>
    </w:p>
    <w:p>
      <w:pPr>
        <w:rPr>
          <w:rFonts w:eastAsia="方正仿宋_GB2312"/>
          <w:sz w:val="33"/>
          <w:szCs w:val="33"/>
          <w:lang w:val="zh-CN"/>
        </w:rPr>
      </w:pPr>
    </w:p>
    <w:p>
      <w:pPr>
        <w:ind w:firstLine="660" w:firstLineChars="200"/>
        <w:rPr>
          <w:rFonts w:hint="eastAsia" w:ascii="黑体" w:hAnsi="黑体" w:eastAsia="黑体"/>
          <w:sz w:val="33"/>
          <w:szCs w:val="33"/>
          <w:lang w:val="zh-CN"/>
        </w:rPr>
      </w:pPr>
      <w:r>
        <w:rPr>
          <w:rFonts w:hint="eastAsia" w:ascii="黑体" w:hAnsi="黑体" w:eastAsia="黑体"/>
          <w:sz w:val="33"/>
          <w:szCs w:val="33"/>
          <w:lang w:val="zh-CN"/>
        </w:rPr>
        <w:t>一、项目概况</w:t>
      </w:r>
    </w:p>
    <w:p>
      <w:pPr>
        <w:autoSpaceDE w:val="0"/>
        <w:autoSpaceDN w:val="0"/>
        <w:adjustRightInd w:val="0"/>
        <w:spacing w:line="576" w:lineRule="exact"/>
        <w:ind w:firstLine="663" w:firstLineChars="200"/>
        <w:rPr>
          <w:rFonts w:hint="eastAsia" w:eastAsia="方正仿宋_GBK"/>
          <w:sz w:val="33"/>
          <w:szCs w:val="33"/>
        </w:rPr>
      </w:pPr>
      <w:r>
        <w:rPr>
          <w:rFonts w:hint="eastAsia" w:ascii="方正楷体_GBK" w:hAnsi="方正楷体_GBK" w:eastAsia="方正楷体_GBK" w:cs="方正楷体_GBK"/>
          <w:b/>
          <w:sz w:val="33"/>
          <w:szCs w:val="33"/>
          <w:lang w:val="zh-CN"/>
        </w:rPr>
        <w:t>（一）设立背景及基本情况。</w:t>
      </w:r>
      <w:r>
        <w:rPr>
          <w:rFonts w:hint="eastAsia" w:eastAsia="方正仿宋_GBK"/>
          <w:sz w:val="33"/>
          <w:szCs w:val="33"/>
        </w:rPr>
        <w:t>维持攀枝花市纪委监委机关日常运行，履行工作职能，落实监督执纪工作规定，确保监督执纪工作、调查工作、案件审查、宣传教育等工作</w:t>
      </w:r>
      <w:r>
        <w:rPr>
          <w:rFonts w:hint="eastAsia" w:ascii="宋体" w:hAnsi="宋体" w:cs="宋体"/>
          <w:sz w:val="33"/>
          <w:szCs w:val="33"/>
        </w:rPr>
        <w:t>顺</w:t>
      </w:r>
      <w:r>
        <w:rPr>
          <w:rFonts w:hint="eastAsia" w:ascii="___WRD_EMBED_SUB_50" w:hAnsi="___WRD_EMBED_SUB_50" w:eastAsia="___WRD_EMBED_SUB_50" w:cs="___WRD_EMBED_SUB_50"/>
          <w:sz w:val="33"/>
          <w:szCs w:val="33"/>
        </w:rPr>
        <w:t>利开展。</w:t>
      </w:r>
    </w:p>
    <w:p>
      <w:pPr>
        <w:ind w:firstLine="663" w:firstLineChars="200"/>
        <w:rPr>
          <w:rFonts w:hint="eastAsia" w:eastAsia="方正仿宋_GBK"/>
          <w:sz w:val="33"/>
          <w:szCs w:val="33"/>
          <w:lang w:val="zh-CN" w:eastAsia="zh-CN"/>
        </w:rPr>
      </w:pPr>
      <w:r>
        <w:rPr>
          <w:rFonts w:hint="eastAsia" w:ascii="方正楷体_GBK" w:hAnsi="方正楷体_GBK" w:eastAsia="方正楷体_GBK" w:cs="方正楷体_GBK"/>
          <w:b/>
          <w:sz w:val="33"/>
          <w:szCs w:val="33"/>
          <w:lang w:val="zh-CN"/>
        </w:rPr>
        <w:t>（二）实施目的及支持方向。</w:t>
      </w:r>
      <w:r>
        <w:rPr>
          <w:rFonts w:eastAsia="方正仿宋_GBK"/>
          <w:sz w:val="33"/>
          <w:szCs w:val="33"/>
        </w:rPr>
        <w:t>按照一体推进“不敢腐﹑不能腐﹑不想腐”机制构建要求，纪检监察机关在查办案件过程中，要正确运用监督执纪“四种形态”，让党纪轻处分和组织处理要成为大多数，严重违纪涉嫌违法立案审查成为极少数。市纪委监委一直以来认真落实全面从严治党要求，积极运用监督执纪“四种形态”，对办理严重职务违法或者职务犯罪案件采取留置措施外，多数系非留置案件</w:t>
      </w:r>
      <w:r>
        <w:rPr>
          <w:rFonts w:hint="eastAsia" w:eastAsia="方正仿宋_GBK"/>
          <w:sz w:val="33"/>
          <w:szCs w:val="33"/>
          <w:lang w:eastAsia="zh-CN"/>
        </w:rPr>
        <w:t>。</w:t>
      </w:r>
    </w:p>
    <w:p>
      <w:pPr>
        <w:autoSpaceDE w:val="0"/>
        <w:autoSpaceDN w:val="0"/>
        <w:adjustRightInd w:val="0"/>
        <w:spacing w:line="576" w:lineRule="exact"/>
        <w:ind w:firstLine="663" w:firstLineChars="200"/>
        <w:rPr>
          <w:rFonts w:hint="eastAsia" w:eastAsia="方正仿宋_GBK"/>
          <w:sz w:val="33"/>
          <w:szCs w:val="33"/>
        </w:rPr>
      </w:pPr>
      <w:r>
        <w:rPr>
          <w:rFonts w:hint="eastAsia" w:ascii="方正楷体_GBK" w:hAnsi="方正楷体_GBK" w:eastAsia="方正楷体_GBK" w:cs="方正楷体_GBK"/>
          <w:b/>
          <w:sz w:val="33"/>
          <w:szCs w:val="33"/>
          <w:lang w:val="zh-CN"/>
        </w:rPr>
        <w:t>（三）预算安排及分配管理。</w:t>
      </w:r>
    </w:p>
    <w:p>
      <w:pPr>
        <w:ind w:firstLine="660" w:firstLineChars="200"/>
        <w:rPr>
          <w:rFonts w:hint="eastAsia" w:eastAsia="方正仿宋_GB2312"/>
          <w:sz w:val="33"/>
          <w:szCs w:val="33"/>
        </w:rPr>
      </w:pPr>
      <w:r>
        <w:rPr>
          <w:rFonts w:hint="eastAsia" w:eastAsia="方正仿宋_GBK"/>
          <w:bCs/>
          <w:color w:val="000000"/>
          <w:sz w:val="33"/>
          <w:szCs w:val="33"/>
        </w:rPr>
        <w:t>2023年度</w:t>
      </w:r>
      <w:r>
        <w:rPr>
          <w:rFonts w:eastAsia="方正仿宋_GBK"/>
          <w:bCs/>
          <w:color w:val="000000"/>
          <w:sz w:val="33"/>
          <w:szCs w:val="33"/>
        </w:rPr>
        <w:t>财政拨款年初预算数</w:t>
      </w:r>
      <w:r>
        <w:rPr>
          <w:rFonts w:hint="eastAsia" w:eastAsia="方正仿宋_GBK"/>
          <w:bCs/>
          <w:color w:val="000000"/>
          <w:sz w:val="33"/>
          <w:szCs w:val="33"/>
        </w:rPr>
        <w:t>100万元，主要用于本年度攀枝花市纪委监委机关日常运行，包括差旅费、劳务费、办公费、办公设备购置、专用设备购置等。</w:t>
      </w:r>
    </w:p>
    <w:p>
      <w:pPr>
        <w:autoSpaceDE w:val="0"/>
        <w:autoSpaceDN w:val="0"/>
        <w:adjustRightInd w:val="0"/>
        <w:spacing w:line="576" w:lineRule="exact"/>
        <w:ind w:firstLine="663" w:firstLineChars="200"/>
        <w:rPr>
          <w:rFonts w:eastAsia="方正仿宋_GB2312"/>
          <w:sz w:val="33"/>
          <w:szCs w:val="33"/>
          <w:lang w:val="zh-CN"/>
        </w:rPr>
      </w:pPr>
      <w:r>
        <w:rPr>
          <w:rFonts w:hint="eastAsia" w:ascii="方正楷体_GBK" w:hAnsi="方正楷体_GBK" w:eastAsia="方正楷体_GBK" w:cs="方正楷体_GBK"/>
          <w:b/>
          <w:sz w:val="33"/>
          <w:szCs w:val="33"/>
          <w:lang w:val="zh-CN"/>
        </w:rPr>
        <w:t>（四）项目绩效目标设置。</w:t>
      </w:r>
      <w:r>
        <w:rPr>
          <w:rFonts w:eastAsia="方正仿宋_GBK"/>
          <w:sz w:val="33"/>
          <w:szCs w:val="33"/>
        </w:rPr>
        <w:t>通过执纪办案，使人民群众充分体会到党和国家惩治腐败的决心，由此树立起反腐败的信心，增强对党和国家的信任感和依托感</w:t>
      </w:r>
      <w:r>
        <w:rPr>
          <w:rFonts w:hint="eastAsia" w:eastAsia="方正仿宋_GBK"/>
          <w:sz w:val="33"/>
          <w:szCs w:val="33"/>
          <w:lang w:eastAsia="zh-CN"/>
        </w:rPr>
        <w:t>，</w:t>
      </w:r>
      <w:r>
        <w:rPr>
          <w:rFonts w:eastAsia="方正仿宋_GBK"/>
          <w:sz w:val="33"/>
          <w:szCs w:val="33"/>
        </w:rPr>
        <w:t>同时也为反腐败斗争赢得强大的社会力量。</w:t>
      </w:r>
    </w:p>
    <w:p>
      <w:pPr>
        <w:ind w:firstLine="660" w:firstLineChars="200"/>
        <w:rPr>
          <w:rFonts w:hint="eastAsia" w:ascii="黑体" w:hAnsi="黑体" w:eastAsia="黑体"/>
          <w:sz w:val="33"/>
          <w:szCs w:val="33"/>
          <w:lang w:val="zh-CN"/>
        </w:rPr>
      </w:pPr>
      <w:r>
        <w:rPr>
          <w:rFonts w:hint="eastAsia" w:ascii="黑体" w:hAnsi="黑体" w:eastAsia="黑体"/>
          <w:sz w:val="33"/>
          <w:szCs w:val="33"/>
          <w:lang w:val="zh-CN"/>
        </w:rPr>
        <w:t>二、评价实施</w:t>
      </w:r>
    </w:p>
    <w:p>
      <w:pPr>
        <w:spacing w:line="600" w:lineRule="exact"/>
        <w:ind w:firstLine="645"/>
        <w:rPr>
          <w:rFonts w:hint="eastAsia" w:eastAsia="方正仿宋_GBK"/>
          <w:sz w:val="33"/>
          <w:szCs w:val="33"/>
          <w:shd w:val="clear" w:color="auto" w:fill="FFFFFF"/>
        </w:rPr>
      </w:pPr>
      <w:r>
        <w:rPr>
          <w:rFonts w:hint="eastAsia" w:ascii="方正楷体_GBK" w:hAnsi="方正楷体_GBK" w:eastAsia="方正楷体_GBK" w:cs="方正楷体_GBK"/>
          <w:b/>
          <w:sz w:val="33"/>
          <w:szCs w:val="33"/>
          <w:lang w:val="zh-CN"/>
        </w:rPr>
        <w:t>（一）评价目的。</w:t>
      </w:r>
      <w:r>
        <w:rPr>
          <w:rFonts w:eastAsia="方正仿宋_GBK"/>
          <w:sz w:val="33"/>
          <w:szCs w:val="33"/>
          <w:shd w:val="clear" w:color="auto" w:fill="FFFFFF"/>
        </w:rPr>
        <w:t>在预算管理上，执行事前预算评估，事中对预算执行进行监控，保障预算支出的有效性。在项目实施上，严格根据工作开展进度支付各项费用，保</w:t>
      </w:r>
      <w:r>
        <w:rPr>
          <w:rFonts w:hint="eastAsia" w:ascii="宋体" w:hAnsi="宋体" w:cs="宋体"/>
          <w:sz w:val="33"/>
          <w:szCs w:val="33"/>
          <w:shd w:val="clear" w:color="auto" w:fill="FFFFFF"/>
        </w:rPr>
        <w:t>证</w:t>
      </w:r>
      <w:r>
        <w:rPr>
          <w:rFonts w:hint="eastAsia" w:ascii="___WRD_EMBED_SUB_50" w:hAnsi="___WRD_EMBED_SUB_50" w:eastAsia="___WRD_EMBED_SUB_50" w:cs="___WRD_EMBED_SUB_50"/>
          <w:sz w:val="33"/>
          <w:szCs w:val="33"/>
          <w:shd w:val="clear" w:color="auto" w:fill="FFFFFF"/>
        </w:rPr>
        <w:t>项目能</w:t>
      </w:r>
      <w:r>
        <w:rPr>
          <w:rFonts w:hint="eastAsia" w:ascii="宋体" w:hAnsi="宋体" w:cs="宋体"/>
          <w:sz w:val="33"/>
          <w:szCs w:val="33"/>
          <w:shd w:val="clear" w:color="auto" w:fill="FFFFFF"/>
        </w:rPr>
        <w:t>顺</w:t>
      </w:r>
      <w:r>
        <w:rPr>
          <w:rFonts w:hint="eastAsia" w:ascii="___WRD_EMBED_SUB_50" w:hAnsi="___WRD_EMBED_SUB_50" w:eastAsia="___WRD_EMBED_SUB_50" w:cs="___WRD_EMBED_SUB_50"/>
          <w:sz w:val="33"/>
          <w:szCs w:val="33"/>
          <w:shd w:val="clear" w:color="auto" w:fill="FFFFFF"/>
        </w:rPr>
        <w:t>利实施。</w:t>
      </w:r>
    </w:p>
    <w:p>
      <w:pPr>
        <w:spacing w:line="600" w:lineRule="exact"/>
        <w:ind w:firstLine="645"/>
        <w:rPr>
          <w:rFonts w:hint="eastAsia" w:eastAsia="方正仿宋_GBK"/>
          <w:sz w:val="33"/>
          <w:szCs w:val="33"/>
          <w:shd w:val="clear" w:color="auto" w:fill="FFFFFF"/>
        </w:rPr>
      </w:pPr>
      <w:r>
        <w:rPr>
          <w:rFonts w:hint="eastAsia" w:ascii="方正楷体_GBK" w:hAnsi="方正楷体_GBK" w:eastAsia="方正楷体_GBK" w:cs="方正楷体_GBK"/>
          <w:b/>
          <w:sz w:val="33"/>
          <w:szCs w:val="33"/>
          <w:lang w:val="zh-CN"/>
        </w:rPr>
        <w:t>（二）预设问题及评价重点。</w:t>
      </w:r>
      <w:r>
        <w:rPr>
          <w:rFonts w:eastAsia="方正仿宋_GBK"/>
          <w:sz w:val="33"/>
          <w:szCs w:val="33"/>
          <w:shd w:val="clear" w:color="auto" w:fill="FFFFFF"/>
        </w:rPr>
        <w:t>为了项目有效进行，</w:t>
      </w:r>
      <w:r>
        <w:rPr>
          <w:rFonts w:hint="eastAsia" w:eastAsia="方正仿宋_GBK"/>
          <w:sz w:val="33"/>
          <w:szCs w:val="33"/>
          <w:shd w:val="clear" w:color="auto" w:fill="FFFFFF"/>
        </w:rPr>
        <w:t>我单位</w:t>
      </w:r>
      <w:r>
        <w:rPr>
          <w:rFonts w:eastAsia="方正仿宋_GBK"/>
          <w:sz w:val="33"/>
          <w:szCs w:val="33"/>
          <w:shd w:val="clear" w:color="auto" w:fill="FFFFFF"/>
        </w:rPr>
        <w:t>根据《会计法》《内部控制制度》等有关财务制度规定，我制定了合同管理、政府采购管理、财务管理、预算管理等各项内控制度。</w:t>
      </w:r>
      <w:r>
        <w:rPr>
          <w:rFonts w:eastAsia="方正仿宋_GBK"/>
          <w:kern w:val="0"/>
          <w:sz w:val="33"/>
          <w:szCs w:val="33"/>
        </w:rPr>
        <w:t>资金使用符合支付范围、支付标准、按相关支付进度支付、支付依据合规合法。</w:t>
      </w:r>
    </w:p>
    <w:p>
      <w:pPr>
        <w:ind w:firstLine="663" w:firstLineChars="200"/>
        <w:rPr>
          <w:rFonts w:hint="eastAsia" w:ascii="方正仿宋_GBK" w:hAnsi="方正仿宋_GBK" w:eastAsia="方正仿宋_GBK" w:cs="方正仿宋_GBK"/>
          <w:sz w:val="33"/>
          <w:szCs w:val="33"/>
          <w:lang w:val="zh-CN"/>
        </w:rPr>
      </w:pPr>
      <w:r>
        <w:rPr>
          <w:rFonts w:hint="eastAsia" w:ascii="方正楷体_GBK" w:hAnsi="方正楷体_GBK" w:eastAsia="方正楷体_GBK" w:cs="方正楷体_GBK"/>
          <w:b/>
          <w:sz w:val="33"/>
          <w:szCs w:val="33"/>
          <w:lang w:val="zh-CN"/>
        </w:rPr>
        <w:t>（三）评价选点。</w:t>
      </w:r>
      <w:r>
        <w:rPr>
          <w:rFonts w:hint="eastAsia" w:ascii="方正仿宋_GBK" w:hAnsi="方正仿宋_GBK" w:eastAsia="方正仿宋_GBK" w:cs="方正仿宋_GBK"/>
          <w:sz w:val="33"/>
          <w:szCs w:val="33"/>
          <w:lang w:val="zh-CN"/>
        </w:rPr>
        <w:t>项目绩效自评</w:t>
      </w:r>
      <w:r>
        <w:rPr>
          <w:rFonts w:hint="eastAsia" w:ascii="方正仿宋_GBK" w:hAnsi="方正仿宋_GBK" w:eastAsia="方正仿宋_GBK" w:cs="方正仿宋_GBK"/>
          <w:sz w:val="33"/>
          <w:szCs w:val="33"/>
          <w:lang w:val="en-US" w:eastAsia="zh-CN"/>
        </w:rPr>
        <w:t>主要查看机关运行基本支出支付进度</w:t>
      </w:r>
      <w:r>
        <w:rPr>
          <w:rFonts w:hint="eastAsia" w:ascii="方正仿宋_GBK" w:hAnsi="方正仿宋_GBK" w:eastAsia="方正仿宋_GBK" w:cs="方正仿宋_GBK"/>
          <w:sz w:val="33"/>
          <w:szCs w:val="33"/>
          <w:lang w:val="zh-CN"/>
        </w:rPr>
        <w:t>。</w:t>
      </w:r>
    </w:p>
    <w:p>
      <w:pPr>
        <w:ind w:firstLine="663" w:firstLineChars="200"/>
        <w:rPr>
          <w:rFonts w:eastAsia="方正仿宋_GBK"/>
          <w:sz w:val="33"/>
          <w:szCs w:val="33"/>
          <w:shd w:val="clear" w:color="auto" w:fill="FFFFFF"/>
        </w:rPr>
      </w:pPr>
      <w:r>
        <w:rPr>
          <w:rFonts w:hint="eastAsia" w:ascii="方正楷体_GBK" w:hAnsi="方正楷体_GBK" w:eastAsia="方正楷体_GBK" w:cs="方正楷体_GBK"/>
          <w:b/>
          <w:sz w:val="33"/>
          <w:szCs w:val="33"/>
          <w:lang w:val="zh-CN"/>
        </w:rPr>
        <w:t>（四）评价方法。</w:t>
      </w:r>
      <w:r>
        <w:rPr>
          <w:rFonts w:hint="eastAsia" w:ascii="方正仿宋_GBK" w:hAnsi="方正仿宋_GBK" w:eastAsia="方正仿宋_GBK" w:cs="方正仿宋_GBK"/>
          <w:sz w:val="33"/>
          <w:szCs w:val="33"/>
          <w:shd w:val="clear" w:color="auto" w:fill="FFFFFF"/>
        </w:rPr>
        <w:t>根据项目情况和评价重点，我单位采用成本效益分析法、单位自评法、问卷调查法三种方法进行评价。</w:t>
      </w:r>
    </w:p>
    <w:p>
      <w:pPr>
        <w:ind w:firstLine="663" w:firstLineChars="200"/>
        <w:rPr>
          <w:rFonts w:hint="eastAsia" w:ascii="方正楷体_GBK" w:hAnsi="方正楷体_GBK" w:eastAsia="方正楷体_GBK" w:cs="方正楷体_GBK"/>
          <w:sz w:val="33"/>
          <w:szCs w:val="33"/>
          <w:shd w:val="clear" w:color="auto" w:fill="FFFFFF"/>
        </w:rPr>
      </w:pPr>
      <w:r>
        <w:rPr>
          <w:rFonts w:hint="eastAsia" w:ascii="方正楷体_GBK" w:hAnsi="方正楷体_GBK" w:eastAsia="方正楷体_GBK" w:cs="方正楷体_GBK"/>
          <w:b/>
          <w:sz w:val="33"/>
          <w:szCs w:val="33"/>
          <w:lang w:val="zh-CN"/>
        </w:rPr>
        <w:t>（五）评价组织。</w:t>
      </w:r>
    </w:p>
    <w:p>
      <w:pPr>
        <w:ind w:firstLine="660" w:firstLineChars="200"/>
        <w:rPr>
          <w:rFonts w:hint="eastAsia" w:ascii="方正仿宋_GBK" w:hAnsi="方正仿宋_GBK" w:eastAsia="方正仿宋_GBK" w:cs="方正仿宋_GBK"/>
          <w:sz w:val="33"/>
          <w:szCs w:val="33"/>
          <w:shd w:val="clear" w:color="auto" w:fill="FFFFFF"/>
        </w:rPr>
      </w:pPr>
      <w:r>
        <w:rPr>
          <w:rFonts w:hint="eastAsia" w:ascii="方正仿宋_GBK" w:hAnsi="方正仿宋_GBK" w:eastAsia="方正仿宋_GBK" w:cs="方正仿宋_GBK"/>
          <w:sz w:val="33"/>
          <w:szCs w:val="33"/>
          <w:shd w:val="clear" w:color="auto" w:fill="FFFFFF"/>
        </w:rPr>
        <w:t>人员构成：分管财务主要领导、分管财务分管领导、办公室主任、办公室副主任、本年度预计产生基本支出的各室（部）主任及财务经办人员。</w:t>
      </w:r>
    </w:p>
    <w:p>
      <w:pPr>
        <w:ind w:firstLine="660" w:firstLineChars="200"/>
        <w:rPr>
          <w:rFonts w:hint="eastAsia"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shd w:val="clear" w:color="auto" w:fill="FFFFFF"/>
        </w:rPr>
        <w:t>职责分工：主要领导、分管领导负责制定评价政策、协调分工、解决决策中重大问题；各室（部）主任负责具体领域深度评价，确保评价标准与实际情况相符；财务经办人员根据各室（部）职能，设计科学合理的考核指标，实施评价，并给出专业意见。</w:t>
      </w:r>
    </w:p>
    <w:p>
      <w:pPr>
        <w:ind w:firstLine="660" w:firstLineChars="200"/>
        <w:rPr>
          <w:rFonts w:hint="eastAsia" w:ascii="黑体" w:hAnsi="黑体" w:eastAsia="黑体"/>
          <w:sz w:val="33"/>
          <w:szCs w:val="33"/>
          <w:lang w:val="zh-CN"/>
        </w:rPr>
      </w:pPr>
      <w:r>
        <w:rPr>
          <w:rFonts w:hint="eastAsia" w:ascii="黑体" w:hAnsi="黑体" w:eastAsia="黑体"/>
          <w:sz w:val="33"/>
          <w:szCs w:val="33"/>
          <w:lang w:val="zh-CN"/>
        </w:rPr>
        <w:t>三、绩效分析</w:t>
      </w:r>
    </w:p>
    <w:p>
      <w:pPr>
        <w:ind w:firstLine="663" w:firstLineChars="200"/>
        <w:rPr>
          <w:rFonts w:hint="eastAsia" w:ascii="方正楷体_GBK" w:hAnsi="方正楷体_GBK" w:eastAsia="方正楷体_GBK" w:cs="方正楷体_GBK"/>
          <w:b/>
          <w:sz w:val="33"/>
          <w:szCs w:val="33"/>
          <w:lang w:val="zh-CN"/>
        </w:rPr>
      </w:pPr>
      <w:r>
        <w:rPr>
          <w:rFonts w:hint="eastAsia" w:ascii="方正楷体_GBK" w:hAnsi="方正楷体_GBK" w:eastAsia="方正楷体_GBK" w:cs="方正楷体_GBK"/>
          <w:b/>
          <w:sz w:val="33"/>
          <w:szCs w:val="33"/>
          <w:lang w:val="zh-CN"/>
        </w:rPr>
        <w:t>（一）通用指标绩效分析。</w:t>
      </w:r>
    </w:p>
    <w:p>
      <w:pPr>
        <w:ind w:firstLine="663" w:firstLineChars="200"/>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b/>
          <w:bCs/>
          <w:sz w:val="33"/>
          <w:szCs w:val="33"/>
          <w:lang w:val="zh-CN"/>
        </w:rPr>
        <w:t>1.项目决策。</w:t>
      </w:r>
      <w:r>
        <w:rPr>
          <w:rFonts w:hint="default" w:ascii="Times New Roman" w:hAnsi="Times New Roman" w:eastAsia="方正仿宋_GBK" w:cs="Times New Roman"/>
          <w:sz w:val="33"/>
          <w:szCs w:val="33"/>
          <w:lang w:val="zh-CN"/>
        </w:rPr>
        <w:t>围绕决策程序、规划论证、资金投向进行绩效分析。根据内部控制管理制度，涉及“三重一大”事项依据相应的资金管理办法进行会议决策。</w:t>
      </w:r>
    </w:p>
    <w:p>
      <w:pPr>
        <w:spacing w:line="600" w:lineRule="exact"/>
        <w:ind w:firstLine="645"/>
        <w:rPr>
          <w:rFonts w:hint="default" w:ascii="Times New Roman" w:hAnsi="Times New Roman" w:eastAsia="方正仿宋_GBK" w:cs="Times New Roman"/>
          <w:sz w:val="33"/>
          <w:szCs w:val="33"/>
          <w:shd w:val="clear" w:color="auto" w:fill="FFFFFF"/>
        </w:rPr>
      </w:pPr>
      <w:r>
        <w:rPr>
          <w:rFonts w:hint="default" w:ascii="Times New Roman" w:hAnsi="Times New Roman" w:eastAsia="方正仿宋_GBK" w:cs="Times New Roman"/>
          <w:b/>
          <w:bCs/>
          <w:sz w:val="33"/>
          <w:szCs w:val="33"/>
          <w:lang w:val="zh-CN"/>
        </w:rPr>
        <w:t>2.项目管理。</w:t>
      </w:r>
      <w:r>
        <w:rPr>
          <w:rFonts w:hint="default" w:ascii="Times New Roman" w:hAnsi="Times New Roman" w:eastAsia="方正仿宋_GBK" w:cs="Times New Roman"/>
          <w:sz w:val="33"/>
          <w:szCs w:val="33"/>
          <w:shd w:val="clear" w:color="auto" w:fill="FFFFFF"/>
        </w:rPr>
        <w:t>根据我单位制定的合同管理、政府采购管理、财务管理、预算管理等各项内控制度，</w:t>
      </w:r>
      <w:r>
        <w:rPr>
          <w:rFonts w:hint="default" w:ascii="Times New Roman" w:hAnsi="Times New Roman" w:eastAsia="方正仿宋_GBK" w:cs="Times New Roman"/>
          <w:kern w:val="0"/>
          <w:sz w:val="33"/>
          <w:szCs w:val="33"/>
        </w:rPr>
        <w:t>资金使用符合支付范围、支付标准、按相关支付进度支付、支付依据合规合法。</w:t>
      </w:r>
    </w:p>
    <w:p>
      <w:pPr>
        <w:ind w:firstLine="663" w:firstLineChars="2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zh-CN"/>
        </w:rPr>
        <w:t>3.项目实施。</w:t>
      </w:r>
      <w:r>
        <w:rPr>
          <w:rFonts w:hint="eastAsia" w:eastAsia="方正仿宋_GBK"/>
          <w:bCs/>
          <w:color w:val="000000"/>
          <w:sz w:val="33"/>
          <w:szCs w:val="33"/>
        </w:rPr>
        <w:t>2023年度</w:t>
      </w:r>
      <w:r>
        <w:rPr>
          <w:rFonts w:eastAsia="方正仿宋_GBK"/>
          <w:bCs/>
          <w:color w:val="000000"/>
          <w:sz w:val="33"/>
          <w:szCs w:val="33"/>
        </w:rPr>
        <w:t>财政拨款年初预算数</w:t>
      </w:r>
      <w:r>
        <w:rPr>
          <w:rFonts w:hint="eastAsia" w:eastAsia="方正仿宋_GBK"/>
          <w:bCs/>
          <w:color w:val="000000"/>
          <w:sz w:val="33"/>
          <w:szCs w:val="33"/>
        </w:rPr>
        <w:t>100万元</w:t>
      </w:r>
      <w:r>
        <w:rPr>
          <w:rFonts w:hint="eastAsia" w:eastAsia="方正仿宋_GBK"/>
          <w:bCs/>
          <w:color w:val="000000"/>
          <w:sz w:val="33"/>
          <w:szCs w:val="33"/>
          <w:lang w:eastAsia="zh-CN"/>
        </w:rPr>
        <w:t>，</w:t>
      </w:r>
      <w:r>
        <w:rPr>
          <w:rFonts w:hint="eastAsia" w:eastAsia="方正仿宋_GBK"/>
          <w:bCs/>
          <w:color w:val="000000"/>
          <w:sz w:val="33"/>
          <w:szCs w:val="33"/>
          <w:lang w:val="en-US" w:eastAsia="zh-CN"/>
        </w:rPr>
        <w:t>截止2023年12月31日实际使用资金480.55万元，预算调增主要是因为年初预算资金不足。</w:t>
      </w:r>
    </w:p>
    <w:p>
      <w:pPr>
        <w:suppressAutoHyphens/>
        <w:spacing w:line="576" w:lineRule="exact"/>
        <w:ind w:firstLine="649" w:firstLineChars="196"/>
        <w:rPr>
          <w:rFonts w:eastAsia="方正仿宋_GB2312"/>
          <w:sz w:val="33"/>
          <w:szCs w:val="33"/>
        </w:rPr>
      </w:pPr>
      <w:r>
        <w:rPr>
          <w:rFonts w:hint="default" w:ascii="Times New Roman" w:hAnsi="Times New Roman" w:eastAsia="方正仿宋_GBK" w:cs="Times New Roman"/>
          <w:b/>
          <w:bCs/>
          <w:sz w:val="33"/>
          <w:szCs w:val="33"/>
          <w:lang w:val="zh-CN"/>
        </w:rPr>
        <w:t>4.项目结果。</w:t>
      </w:r>
      <w:r>
        <w:rPr>
          <w:rFonts w:hint="default" w:ascii="Times New Roman" w:hAnsi="Times New Roman" w:eastAsia="方正仿宋_GBK" w:cs="Times New Roman"/>
          <w:bCs/>
          <w:color w:val="000000"/>
          <w:sz w:val="33"/>
          <w:szCs w:val="33"/>
        </w:rPr>
        <w:t>在省纪委监委和市委的坚强领导下，全市纪检监察机关深入学习贯彻党的二十大精神，聚焦习近平总书记来川视察重要指示精神尤其是对攀枝花工作的重要指导精神，对标对表中央纪委、省纪委全会工作部署，围绕共同富裕试验区建设发挥监督保障执行、促进完善发展作用，重拳整治“八种反面典型”，驰而不息正风肃纪、惩贪治腐。</w:t>
      </w:r>
    </w:p>
    <w:p>
      <w:pPr>
        <w:ind w:firstLine="663" w:firstLineChars="200"/>
        <w:rPr>
          <w:rFonts w:hint="eastAsia" w:ascii="方正楷体_GBK" w:hAnsi="方正楷体_GBK" w:eastAsia="方正楷体_GBK" w:cs="方正楷体_GBK"/>
          <w:sz w:val="33"/>
          <w:szCs w:val="33"/>
          <w:lang w:val="zh-CN"/>
        </w:rPr>
      </w:pPr>
      <w:r>
        <w:rPr>
          <w:rFonts w:hint="eastAsia" w:ascii="方正楷体_GBK" w:hAnsi="方正楷体_GBK" w:eastAsia="方正楷体_GBK" w:cs="方正楷体_GBK"/>
          <w:b/>
          <w:sz w:val="33"/>
          <w:szCs w:val="33"/>
          <w:lang w:val="zh-CN"/>
        </w:rPr>
        <w:t>（二）专用指标绩效分析。</w:t>
      </w:r>
    </w:p>
    <w:p>
      <w:pPr>
        <w:ind w:firstLine="663" w:firstLineChars="2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zh-CN"/>
        </w:rPr>
        <w:t>1.产业发展。</w:t>
      </w:r>
      <w:r>
        <w:rPr>
          <w:rFonts w:hint="eastAsia" w:eastAsia="方正仿宋_GBK" w:cs="Times New Roman"/>
          <w:sz w:val="33"/>
          <w:szCs w:val="33"/>
          <w:lang w:val="en-US" w:eastAsia="zh-CN"/>
        </w:rPr>
        <w:t>该项目主要用于保障攀枝花市纪委监委机关日常工作运行，保障执纪、办案、监督等基本工作，提升惩治腐败的质效。</w:t>
      </w:r>
    </w:p>
    <w:p>
      <w:pPr>
        <w:autoSpaceDE w:val="0"/>
        <w:autoSpaceDN w:val="0"/>
        <w:adjustRightInd w:val="0"/>
        <w:spacing w:line="576" w:lineRule="exact"/>
        <w:ind w:firstLine="663" w:firstLineChars="200"/>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b/>
          <w:bCs/>
          <w:sz w:val="33"/>
          <w:szCs w:val="33"/>
          <w:lang w:val="zh-CN"/>
        </w:rPr>
        <w:t>2.民生保障。</w:t>
      </w:r>
      <w:r>
        <w:rPr>
          <w:rFonts w:hint="default" w:ascii="Times New Roman" w:hAnsi="Times New Roman" w:eastAsia="方正仿宋_GBK" w:cs="Times New Roman"/>
          <w:sz w:val="33"/>
          <w:szCs w:val="33"/>
        </w:rPr>
        <w:t>通过执纪办案，</w:t>
      </w:r>
      <w:r>
        <w:rPr>
          <w:rFonts w:hint="eastAsia" w:ascii="Times New Roman" w:hAnsi="Times New Roman" w:eastAsia="方正仿宋_GBK" w:cs="Times New Roman"/>
          <w:sz w:val="33"/>
          <w:szCs w:val="33"/>
          <w:lang w:val="en-US" w:eastAsia="zh-CN"/>
        </w:rPr>
        <w:t>惩治贪腐，消灭群众身边的腐败和不正之风，</w:t>
      </w:r>
      <w:r>
        <w:rPr>
          <w:rFonts w:hint="default" w:ascii="Times New Roman" w:hAnsi="Times New Roman" w:eastAsia="方正仿宋_GBK" w:cs="Times New Roman"/>
          <w:sz w:val="33"/>
          <w:szCs w:val="33"/>
        </w:rPr>
        <w:t>使人民群众充分体会到党和国家惩治腐败的决心，由此树立起反腐败的信心，增强对党和国家的信任感和依托感</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为反腐败斗争赢得强大的社会力量。</w:t>
      </w:r>
    </w:p>
    <w:p>
      <w:pPr>
        <w:ind w:firstLine="663" w:firstLineChars="2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zh-CN"/>
        </w:rPr>
        <w:t>3.基础设施。</w:t>
      </w:r>
      <w:r>
        <w:rPr>
          <w:rFonts w:hint="eastAsia" w:eastAsia="方正仿宋_GBK" w:cs="Times New Roman"/>
          <w:sz w:val="33"/>
          <w:szCs w:val="33"/>
          <w:lang w:val="en-US" w:eastAsia="zh-CN"/>
        </w:rPr>
        <w:t>该项目本年度不存在基础设施建设。</w:t>
      </w:r>
    </w:p>
    <w:p>
      <w:pPr>
        <w:adjustRightInd w:val="0"/>
        <w:snapToGrid w:val="0"/>
        <w:spacing w:line="560" w:lineRule="exact"/>
        <w:ind w:firstLine="72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zh-CN"/>
        </w:rPr>
        <w:t>4.行政运转。</w:t>
      </w:r>
      <w:r>
        <w:rPr>
          <w:rFonts w:hint="default" w:ascii="Times New Roman" w:hAnsi="Times New Roman" w:eastAsia="方正仿宋_GBK" w:cs="Times New Roman"/>
          <w:sz w:val="33"/>
          <w:szCs w:val="33"/>
          <w:lang w:val="zh-CN"/>
        </w:rPr>
        <w:t>围绕用途合规性、程序合规性、标准合规性进行绩效分析。</w:t>
      </w:r>
      <w:r>
        <w:rPr>
          <w:rFonts w:hint="eastAsia" w:eastAsia="方正仿宋_GBK" w:cs="Times New Roman"/>
          <w:sz w:val="33"/>
          <w:szCs w:val="33"/>
          <w:lang w:val="en-US" w:eastAsia="zh-CN"/>
        </w:rPr>
        <w:t>该项目根据上一年度的基本运行支出及本年度各室（部）预计支出情况测算经费，本着“过紧日子”的原则，用好一分一毫，</w:t>
      </w:r>
      <w:r>
        <w:rPr>
          <w:rFonts w:hint="eastAsia" w:ascii="Times New Roman" w:hAnsi="Times New Roman" w:eastAsia="仿宋" w:cs="方正仿宋_GBK"/>
          <w:bCs/>
          <w:kern w:val="2"/>
          <w:sz w:val="33"/>
          <w:szCs w:val="33"/>
          <w:lang w:val="zh-CN" w:eastAsia="zh-CN" w:bidi="ar"/>
        </w:rPr>
        <w:t>严格执行财务管理制度、财务处理及时、会计核算</w:t>
      </w:r>
      <w:r>
        <w:rPr>
          <w:rFonts w:hint="eastAsia" w:ascii="Times New Roman" w:hAnsi="Times New Roman" w:eastAsia="仿宋" w:cs="方正仿宋_GBK"/>
          <w:bCs/>
          <w:kern w:val="2"/>
          <w:sz w:val="33"/>
          <w:szCs w:val="33"/>
          <w:lang w:val="en-US" w:eastAsia="zh-CN" w:bidi="ar"/>
        </w:rPr>
        <w:t>合法合规</w:t>
      </w:r>
      <w:r>
        <w:rPr>
          <w:rFonts w:hint="eastAsia" w:ascii="Times New Roman" w:hAnsi="Times New Roman" w:eastAsia="仿宋" w:cs="方正仿宋_GBK"/>
          <w:bCs/>
          <w:kern w:val="2"/>
          <w:sz w:val="33"/>
          <w:szCs w:val="33"/>
          <w:lang w:val="zh-CN" w:eastAsia="zh-CN" w:bidi="ar"/>
        </w:rPr>
        <w:t>。</w:t>
      </w:r>
    </w:p>
    <w:p>
      <w:pPr>
        <w:ind w:firstLine="663" w:firstLineChars="200"/>
        <w:rPr>
          <w:rFonts w:eastAsia="方正仿宋_GB2312"/>
          <w:sz w:val="33"/>
          <w:szCs w:val="33"/>
          <w:lang w:val="zh-CN"/>
        </w:rPr>
      </w:pPr>
      <w:r>
        <w:rPr>
          <w:rFonts w:hint="eastAsia" w:ascii="方正楷体_GBK" w:hAnsi="方正楷体_GBK" w:eastAsia="方正楷体_GBK" w:cs="方正楷体_GBK"/>
          <w:b/>
          <w:sz w:val="33"/>
          <w:szCs w:val="33"/>
          <w:lang w:val="zh-CN"/>
        </w:rPr>
        <w:t>（三）个性指标绩效分析。</w:t>
      </w:r>
      <w:r>
        <w:rPr>
          <w:rFonts w:hint="eastAsia" w:ascii="方正仿宋_GBK" w:hAnsi="方正仿宋_GBK" w:eastAsia="方正仿宋_GBK" w:cs="方正仿宋_GBK"/>
          <w:sz w:val="33"/>
          <w:szCs w:val="33"/>
          <w:lang w:val="en-US" w:eastAsia="zh-CN"/>
        </w:rPr>
        <w:t>提升执纪监督质效，要以要以改革精神、严的要求纠治形式主义、官僚主义，加强对《整治形式主义为基层减负若干规定》执行情况的监督检查，真抓严管、严抓严管，确保各项规定落地见效，激励广大干部担当作为</w:t>
      </w:r>
      <w:r>
        <w:rPr>
          <w:rFonts w:hint="eastAsia" w:eastAsia="方正仿宋_GB2312"/>
          <w:sz w:val="33"/>
          <w:szCs w:val="33"/>
          <w:lang w:val="zh-CN"/>
        </w:rPr>
        <w:t>。</w:t>
      </w:r>
    </w:p>
    <w:p>
      <w:pPr>
        <w:ind w:firstLine="660" w:firstLineChars="200"/>
        <w:rPr>
          <w:rFonts w:hint="eastAsia" w:ascii="黑体" w:hAnsi="黑体" w:eastAsia="黑体"/>
          <w:sz w:val="33"/>
          <w:szCs w:val="33"/>
          <w:lang w:val="zh-CN"/>
        </w:rPr>
      </w:pPr>
      <w:r>
        <w:rPr>
          <w:rFonts w:hint="eastAsia" w:ascii="黑体" w:hAnsi="黑体" w:eastAsia="黑体"/>
          <w:sz w:val="33"/>
          <w:szCs w:val="33"/>
          <w:lang w:val="zh-CN"/>
        </w:rPr>
        <w:t>四、评价结论</w:t>
      </w:r>
    </w:p>
    <w:p>
      <w:pPr>
        <w:keepNext w:val="0"/>
        <w:keepLines w:val="0"/>
        <w:pageBreakBefore w:val="0"/>
        <w:widowControl/>
        <w:suppressLineNumbers w:val="0"/>
        <w:kinsoku/>
        <w:wordWrap/>
        <w:overflowPunct/>
        <w:topLinePunct w:val="0"/>
        <w:bidi w:val="0"/>
        <w:adjustRightInd w:val="0"/>
        <w:snapToGrid w:val="0"/>
        <w:spacing w:beforeAutospacing="0" w:afterAutospacing="0" w:line="240" w:lineRule="auto"/>
        <w:ind w:left="0" w:right="0" w:firstLine="660" w:firstLineChars="200"/>
        <w:contextualSpacing/>
        <w:jc w:val="both"/>
        <w:textAlignment w:val="auto"/>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color w:val="000000"/>
          <w:kern w:val="0"/>
          <w:sz w:val="33"/>
          <w:szCs w:val="33"/>
          <w:highlight w:val="none"/>
          <w:shd w:val="clear" w:color="auto" w:fill="FFFFFF"/>
          <w:lang w:val="en-US" w:eastAsia="zh-CN" w:bidi="ar-SA"/>
        </w:rPr>
        <w:t>（一）资金实行专款专用，严格执行集中支付，做到合法合规，不超范围、超标准支出，不存在任何截留、挤占、挪用资金、经费控制率达标。</w:t>
      </w:r>
    </w:p>
    <w:p>
      <w:pPr>
        <w:pStyle w:val="2"/>
        <w:pageBreakBefore w:val="0"/>
        <w:widowControl/>
        <w:kinsoku/>
        <w:wordWrap/>
        <w:overflowPunct/>
        <w:topLinePunct w:val="0"/>
        <w:bidi w:val="0"/>
        <w:spacing w:beforeAutospacing="0" w:after="0" w:line="240" w:lineRule="auto"/>
        <w:ind w:left="0" w:leftChars="0" w:right="0" w:firstLine="660" w:firstLineChars="200"/>
        <w:jc w:val="both"/>
        <w:textAlignment w:val="auto"/>
        <w:rPr>
          <w:rFonts w:hint="eastAsia" w:ascii="方正仿宋_GBK" w:hAnsi="方正仿宋_GBK" w:eastAsia="方正仿宋_GBK" w:cs="方正仿宋_GBK"/>
          <w:color w:val="000000"/>
          <w:kern w:val="0"/>
          <w:sz w:val="33"/>
          <w:szCs w:val="33"/>
          <w:highlight w:val="none"/>
          <w:shd w:val="clear" w:color="auto" w:fill="FFFFFF"/>
        </w:rPr>
      </w:pPr>
      <w:r>
        <w:rPr>
          <w:rFonts w:hint="eastAsia" w:ascii="方正仿宋_GBK" w:hAnsi="方正仿宋_GBK" w:eastAsia="方正仿宋_GBK" w:cs="方正仿宋_GBK"/>
          <w:color w:val="000000"/>
          <w:kern w:val="0"/>
          <w:sz w:val="33"/>
          <w:szCs w:val="33"/>
          <w:highlight w:val="none"/>
          <w:shd w:val="clear" w:color="auto" w:fill="FFFFFF"/>
          <w:lang w:val="en-US" w:eastAsia="zh-CN" w:bidi="ar-SA"/>
        </w:rPr>
        <w:t>（二）</w:t>
      </w:r>
      <w:r>
        <w:rPr>
          <w:rFonts w:hint="eastAsia" w:ascii="方正仿宋_GBK" w:hAnsi="方正仿宋_GBK" w:eastAsia="方正仿宋_GBK" w:cs="方正仿宋_GBK"/>
          <w:color w:val="000000"/>
          <w:kern w:val="0"/>
          <w:sz w:val="33"/>
          <w:szCs w:val="33"/>
          <w:highlight w:val="none"/>
          <w:shd w:val="clear" w:color="auto" w:fill="FFFFFF"/>
        </w:rPr>
        <w:t>重点工作完成效率、绩效目标完成率真达标。</w:t>
      </w:r>
    </w:p>
    <w:p>
      <w:pPr>
        <w:pStyle w:val="2"/>
        <w:pageBreakBefore w:val="0"/>
        <w:widowControl/>
        <w:kinsoku/>
        <w:wordWrap/>
        <w:overflowPunct/>
        <w:topLinePunct w:val="0"/>
        <w:bidi w:val="0"/>
        <w:spacing w:beforeAutospacing="0" w:after="0" w:line="240" w:lineRule="auto"/>
        <w:ind w:left="0" w:leftChars="0" w:right="0" w:firstLine="660" w:firstLineChars="200"/>
        <w:jc w:val="both"/>
        <w:textAlignment w:val="auto"/>
        <w:rPr>
          <w:rFonts w:hint="eastAsia" w:ascii="方正仿宋_GBK" w:hAnsi="方正仿宋_GBK" w:eastAsia="方正仿宋_GBK" w:cs="方正仿宋_GBK"/>
          <w:sz w:val="33"/>
          <w:szCs w:val="33"/>
          <w:highlight w:val="none"/>
          <w:lang w:val="zh-CN"/>
        </w:rPr>
      </w:pPr>
      <w:r>
        <w:rPr>
          <w:rFonts w:hint="eastAsia" w:ascii="方正仿宋_GBK" w:hAnsi="方正仿宋_GBK" w:eastAsia="方正仿宋_GBK" w:cs="方正仿宋_GBK"/>
          <w:color w:val="000000"/>
          <w:kern w:val="0"/>
          <w:sz w:val="33"/>
          <w:szCs w:val="33"/>
          <w:highlight w:val="none"/>
          <w:shd w:val="clear" w:color="auto" w:fill="FFFFFF"/>
          <w:lang w:val="en-US" w:eastAsia="zh-CN" w:bidi="ar-SA"/>
        </w:rPr>
        <w:t>（三）</w:t>
      </w:r>
      <w:r>
        <w:rPr>
          <w:rFonts w:hint="eastAsia" w:ascii="方正仿宋_GBK" w:hAnsi="方正仿宋_GBK" w:eastAsia="方正仿宋_GBK" w:cs="方正仿宋_GBK"/>
          <w:color w:val="000000"/>
          <w:kern w:val="0"/>
          <w:sz w:val="33"/>
          <w:szCs w:val="33"/>
          <w:highlight w:val="none"/>
          <w:shd w:val="clear" w:color="auto" w:fill="FFFFFF"/>
        </w:rPr>
        <w:t>制定具体的报销发放办法，严格按照有关规定、步骤和程序进行保证预算的有效执行。</w:t>
      </w:r>
    </w:p>
    <w:p>
      <w:pPr>
        <w:ind w:firstLine="660" w:firstLineChars="200"/>
        <w:rPr>
          <w:rFonts w:hint="eastAsia" w:ascii="黑体" w:hAnsi="黑体" w:eastAsia="黑体"/>
          <w:sz w:val="33"/>
          <w:szCs w:val="33"/>
          <w:lang w:val="zh-CN"/>
        </w:rPr>
      </w:pPr>
      <w:r>
        <w:rPr>
          <w:rFonts w:hint="eastAsia" w:ascii="黑体" w:hAnsi="黑体" w:eastAsia="黑体"/>
          <w:sz w:val="33"/>
          <w:szCs w:val="33"/>
          <w:lang w:val="zh-CN"/>
        </w:rPr>
        <w:t>五、存在主要问题</w:t>
      </w:r>
    </w:p>
    <w:p>
      <w:pPr>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一是预算绩效管理相关制度需进一步完善。</w:t>
      </w:r>
      <w:r>
        <w:rPr>
          <w:rFonts w:hint="eastAsia" w:eastAsia="方正仿宋_GBK" w:cs="Times New Roman"/>
          <w:sz w:val="33"/>
          <w:szCs w:val="33"/>
          <w:lang w:val="en-US" w:eastAsia="zh-CN"/>
        </w:rPr>
        <w:t>1—8</w:t>
      </w:r>
      <w:r>
        <w:rPr>
          <w:rFonts w:hint="default" w:ascii="Times New Roman" w:hAnsi="Times New Roman" w:eastAsia="方正仿宋_GBK" w:cs="Times New Roman"/>
          <w:sz w:val="33"/>
          <w:szCs w:val="33"/>
        </w:rPr>
        <w:t>月预算执行进度较慢，需要进一步加快预算执行进度，科学合理编制预算。 二是抓绩效管理重点环节力度需进一步加强。绩效目标细化量化不够，监控工作力度较弱，影响了绩效管理效果。</w:t>
      </w:r>
    </w:p>
    <w:p>
      <w:pPr>
        <w:ind w:firstLine="660" w:firstLineChars="200"/>
        <w:rPr>
          <w:rFonts w:hint="eastAsia" w:ascii="黑体" w:hAnsi="黑体" w:eastAsia="黑体"/>
          <w:sz w:val="33"/>
          <w:szCs w:val="33"/>
          <w:lang w:val="zh-CN"/>
        </w:rPr>
      </w:pPr>
      <w:r>
        <w:rPr>
          <w:rFonts w:hint="eastAsia" w:ascii="黑体" w:hAnsi="黑体" w:eastAsia="黑体"/>
          <w:sz w:val="33"/>
          <w:szCs w:val="33"/>
          <w:lang w:val="zh-CN"/>
        </w:rPr>
        <w:t>六、改进建议</w:t>
      </w:r>
    </w:p>
    <w:p>
      <w:pPr>
        <w:ind w:firstLine="660" w:firstLineChars="200"/>
        <w:rPr>
          <w:rFonts w:eastAsia="方正仿宋_GB2312"/>
          <w:sz w:val="33"/>
          <w:szCs w:val="33"/>
          <w:lang w:val="zh-CN"/>
        </w:rPr>
      </w:pPr>
      <w:r>
        <w:rPr>
          <w:rFonts w:eastAsia="方正仿宋_GB2312"/>
          <w:sz w:val="33"/>
          <w:szCs w:val="33"/>
          <w:lang w:val="zh-CN"/>
        </w:rPr>
        <w:t>一是完善预算绩效配套体系</w:t>
      </w:r>
      <w:r>
        <w:rPr>
          <w:rFonts w:hint="eastAsia" w:eastAsia="方正仿宋_GB2312"/>
          <w:sz w:val="33"/>
          <w:szCs w:val="33"/>
          <w:lang w:val="zh-CN"/>
        </w:rPr>
        <w:t>。</w:t>
      </w:r>
      <w:r>
        <w:rPr>
          <w:rFonts w:eastAsia="方正仿宋_GB2312"/>
          <w:sz w:val="33"/>
          <w:szCs w:val="33"/>
          <w:lang w:val="zh-CN"/>
        </w:rPr>
        <w:t>夯实预算绩效管理基础</w:t>
      </w:r>
      <w:r>
        <w:rPr>
          <w:rFonts w:hint="eastAsia" w:eastAsia="方正仿宋_GB2312"/>
          <w:sz w:val="33"/>
          <w:szCs w:val="33"/>
          <w:lang w:val="zh-CN"/>
        </w:rPr>
        <w:t>，</w:t>
      </w:r>
      <w:r>
        <w:rPr>
          <w:rFonts w:eastAsia="方正仿宋_GB2312"/>
          <w:sz w:val="33"/>
          <w:szCs w:val="33"/>
          <w:lang w:val="zh-CN"/>
        </w:rPr>
        <w:t>提高绩效目标编制质量</w:t>
      </w:r>
      <w:r>
        <w:rPr>
          <w:rFonts w:hint="eastAsia" w:eastAsia="方正仿宋_GB2312"/>
          <w:sz w:val="33"/>
          <w:szCs w:val="33"/>
          <w:lang w:val="zh-CN"/>
        </w:rPr>
        <w:t>，</w:t>
      </w:r>
      <w:r>
        <w:rPr>
          <w:rFonts w:eastAsia="方正仿宋_GB2312"/>
          <w:sz w:val="33"/>
          <w:szCs w:val="33"/>
          <w:lang w:val="zh-CN"/>
        </w:rPr>
        <w:t>推进财政支出标准化</w:t>
      </w:r>
      <w:r>
        <w:rPr>
          <w:rFonts w:hint="eastAsia" w:eastAsia="方正仿宋_GB2312"/>
          <w:sz w:val="33"/>
          <w:szCs w:val="33"/>
          <w:lang w:val="zh-CN"/>
        </w:rPr>
        <w:t>，</w:t>
      </w:r>
      <w:r>
        <w:rPr>
          <w:rFonts w:eastAsia="方正仿宋_GB2312"/>
          <w:sz w:val="33"/>
          <w:szCs w:val="33"/>
          <w:lang w:val="zh-CN"/>
        </w:rPr>
        <w:t>提高预算绩效管理的专业性、客观性和公正性。二是</w:t>
      </w:r>
      <w:r>
        <w:rPr>
          <w:rFonts w:hint="eastAsia" w:eastAsia="方正仿宋_GB2312"/>
          <w:sz w:val="33"/>
          <w:szCs w:val="33"/>
          <w:lang w:val="en-US" w:eastAsia="zh-CN"/>
        </w:rPr>
        <w:t>深度</w:t>
      </w:r>
      <w:r>
        <w:rPr>
          <w:rFonts w:eastAsia="方正仿宋_GB2312"/>
          <w:sz w:val="33"/>
          <w:szCs w:val="33"/>
          <w:lang w:val="zh-CN"/>
        </w:rPr>
        <w:t>拓展绩效管理。完善绩效管理制度和指标体系，开展绩效目标实现程度和预算执行进度动态监控，对预算执行和目标实现情况动态精准分析研判，对偏离目标、执行不力的项目及时纠偏纠错、调整预算。三是创新预算绩效结果应用方式。借助信息技术手段，在事前绩效评估、绩效运行监控、绩效评价、结果应用等方面，充分运用专业化、定量化分析工具和方法推动绩效结果应用。</w:t>
      </w:r>
    </w:p>
    <w:p>
      <w:pPr>
        <w:pStyle w:val="2"/>
        <w:rPr>
          <w:rFonts w:eastAsia="方正仿宋_GB2312"/>
          <w:sz w:val="33"/>
          <w:szCs w:val="33"/>
          <w:lang w:val="zh-CN"/>
        </w:rPr>
      </w:pPr>
    </w:p>
    <w:p>
      <w:pPr>
        <w:pStyle w:val="2"/>
        <w:ind w:left="0" w:leftChars="0" w:firstLine="0" w:firstLineChars="0"/>
        <w:rPr>
          <w:rFonts w:eastAsia="方正仿宋_GB2312"/>
          <w:sz w:val="33"/>
          <w:szCs w:val="33"/>
          <w:lang w:val="zh-CN"/>
        </w:rPr>
      </w:pPr>
    </w:p>
    <w:p>
      <w:pPr>
        <w:pStyle w:val="4"/>
        <w:jc w:val="center"/>
        <w:rPr>
          <w:rFonts w:hint="eastAsia" w:ascii="黑体" w:hAnsi="黑体" w:eastAsia="黑体"/>
          <w:sz w:val="33"/>
          <w:szCs w:val="33"/>
        </w:rPr>
      </w:pPr>
      <w:bookmarkStart w:id="78" w:name="_Toc24157"/>
      <w:r>
        <w:rPr>
          <w:rFonts w:hint="eastAsia" w:ascii="黑体" w:hAnsi="黑体" w:eastAsia="黑体"/>
          <w:sz w:val="33"/>
          <w:szCs w:val="33"/>
        </w:rPr>
        <w:t>第五部分 附表</w:t>
      </w:r>
      <w:bookmarkEnd w:id="78"/>
    </w:p>
    <w:p>
      <w:pPr>
        <w:outlineLvl w:val="2"/>
        <w:rPr>
          <w:rFonts w:hint="eastAsia" w:ascii="仿宋" w:hAnsi="仿宋" w:eastAsia="仿宋"/>
          <w:sz w:val="33"/>
          <w:szCs w:val="33"/>
        </w:rPr>
      </w:pPr>
      <w:bookmarkStart w:id="79" w:name="_Toc30428"/>
      <w:r>
        <w:rPr>
          <w:rFonts w:hint="eastAsia" w:ascii="仿宋" w:hAnsi="仿宋" w:eastAsia="仿宋"/>
          <w:sz w:val="33"/>
          <w:szCs w:val="33"/>
        </w:rPr>
        <w:t>一、收入支出决算总表</w:t>
      </w:r>
      <w:bookmarkEnd w:id="79"/>
    </w:p>
    <w:p>
      <w:pPr>
        <w:outlineLvl w:val="2"/>
        <w:rPr>
          <w:rFonts w:hint="eastAsia" w:ascii="仿宋" w:hAnsi="仿宋" w:eastAsia="仿宋"/>
          <w:sz w:val="33"/>
          <w:szCs w:val="33"/>
        </w:rPr>
      </w:pPr>
      <w:bookmarkStart w:id="80" w:name="_Toc8828"/>
      <w:r>
        <w:rPr>
          <w:rFonts w:hint="eastAsia" w:ascii="仿宋" w:hAnsi="仿宋" w:eastAsia="仿宋"/>
          <w:sz w:val="33"/>
          <w:szCs w:val="33"/>
        </w:rPr>
        <w:t>二、收入决算表</w:t>
      </w:r>
      <w:bookmarkEnd w:id="80"/>
    </w:p>
    <w:p>
      <w:pPr>
        <w:outlineLvl w:val="2"/>
        <w:rPr>
          <w:rFonts w:hint="eastAsia" w:ascii="仿宋" w:hAnsi="仿宋" w:eastAsia="仿宋"/>
          <w:sz w:val="33"/>
          <w:szCs w:val="33"/>
        </w:rPr>
      </w:pPr>
      <w:bookmarkStart w:id="81" w:name="_Toc13045"/>
      <w:r>
        <w:rPr>
          <w:rFonts w:hint="eastAsia" w:ascii="仿宋" w:hAnsi="仿宋" w:eastAsia="仿宋"/>
          <w:sz w:val="33"/>
          <w:szCs w:val="33"/>
        </w:rPr>
        <w:t>三、支出决算表</w:t>
      </w:r>
      <w:bookmarkEnd w:id="81"/>
    </w:p>
    <w:p>
      <w:pPr>
        <w:outlineLvl w:val="2"/>
        <w:rPr>
          <w:rFonts w:hint="eastAsia" w:ascii="仿宋" w:hAnsi="仿宋" w:eastAsia="仿宋"/>
          <w:sz w:val="33"/>
          <w:szCs w:val="33"/>
        </w:rPr>
      </w:pPr>
      <w:bookmarkStart w:id="82" w:name="_Toc12143"/>
      <w:r>
        <w:rPr>
          <w:rFonts w:hint="eastAsia" w:ascii="仿宋" w:hAnsi="仿宋" w:eastAsia="仿宋"/>
          <w:sz w:val="33"/>
          <w:szCs w:val="33"/>
        </w:rPr>
        <w:t>四、财政拨款收入支出决算总表</w:t>
      </w:r>
      <w:bookmarkEnd w:id="82"/>
    </w:p>
    <w:p>
      <w:pPr>
        <w:outlineLvl w:val="2"/>
        <w:rPr>
          <w:rFonts w:hint="eastAsia" w:ascii="仿宋" w:hAnsi="仿宋" w:eastAsia="仿宋"/>
          <w:sz w:val="33"/>
          <w:szCs w:val="33"/>
        </w:rPr>
      </w:pPr>
      <w:bookmarkStart w:id="83" w:name="_Toc14467"/>
      <w:r>
        <w:rPr>
          <w:rFonts w:hint="eastAsia" w:ascii="仿宋" w:hAnsi="仿宋" w:eastAsia="仿宋"/>
          <w:sz w:val="33"/>
          <w:szCs w:val="33"/>
        </w:rPr>
        <w:t>五、财政拨款支出决算明细表</w:t>
      </w:r>
      <w:bookmarkEnd w:id="83"/>
    </w:p>
    <w:p>
      <w:pPr>
        <w:outlineLvl w:val="2"/>
        <w:rPr>
          <w:rFonts w:hint="eastAsia" w:ascii="仿宋" w:hAnsi="仿宋" w:eastAsia="仿宋"/>
          <w:sz w:val="33"/>
          <w:szCs w:val="33"/>
        </w:rPr>
      </w:pPr>
      <w:bookmarkStart w:id="84" w:name="_Toc18732"/>
      <w:r>
        <w:rPr>
          <w:rFonts w:hint="eastAsia" w:ascii="仿宋" w:hAnsi="仿宋" w:eastAsia="仿宋"/>
          <w:sz w:val="33"/>
          <w:szCs w:val="33"/>
        </w:rPr>
        <w:t>六、一般公共预算财政拨款支出决算表</w:t>
      </w:r>
      <w:bookmarkEnd w:id="84"/>
    </w:p>
    <w:p>
      <w:pPr>
        <w:outlineLvl w:val="2"/>
        <w:rPr>
          <w:rFonts w:hint="eastAsia" w:ascii="仿宋" w:hAnsi="仿宋" w:eastAsia="仿宋"/>
          <w:sz w:val="33"/>
          <w:szCs w:val="33"/>
        </w:rPr>
      </w:pPr>
      <w:bookmarkStart w:id="85" w:name="_Toc23854"/>
      <w:r>
        <w:rPr>
          <w:rFonts w:hint="eastAsia" w:ascii="仿宋" w:hAnsi="仿宋" w:eastAsia="仿宋"/>
          <w:sz w:val="33"/>
          <w:szCs w:val="33"/>
        </w:rPr>
        <w:t>七、一般公共预算财政拨款支出决算明细表</w:t>
      </w:r>
      <w:bookmarkEnd w:id="85"/>
    </w:p>
    <w:p>
      <w:pPr>
        <w:outlineLvl w:val="2"/>
        <w:rPr>
          <w:rFonts w:hint="eastAsia" w:ascii="仿宋" w:hAnsi="仿宋" w:eastAsia="仿宋"/>
          <w:sz w:val="33"/>
          <w:szCs w:val="33"/>
        </w:rPr>
      </w:pPr>
      <w:bookmarkStart w:id="86" w:name="_Toc12838"/>
      <w:r>
        <w:rPr>
          <w:rFonts w:hint="eastAsia" w:ascii="仿宋" w:hAnsi="仿宋" w:eastAsia="仿宋"/>
          <w:sz w:val="33"/>
          <w:szCs w:val="33"/>
        </w:rPr>
        <w:t>八、一般公共预算财政拨款基本支出决算表</w:t>
      </w:r>
      <w:bookmarkEnd w:id="86"/>
    </w:p>
    <w:p>
      <w:pPr>
        <w:outlineLvl w:val="2"/>
        <w:rPr>
          <w:rFonts w:hint="eastAsia" w:ascii="仿宋" w:hAnsi="仿宋" w:eastAsia="仿宋"/>
          <w:sz w:val="33"/>
          <w:szCs w:val="33"/>
        </w:rPr>
      </w:pPr>
      <w:bookmarkStart w:id="87" w:name="_Toc6008"/>
      <w:r>
        <w:rPr>
          <w:rFonts w:hint="eastAsia" w:ascii="仿宋" w:hAnsi="仿宋" w:eastAsia="仿宋"/>
          <w:sz w:val="33"/>
          <w:szCs w:val="33"/>
        </w:rPr>
        <w:t>九、一般公共预算财政拨款项目支出决算表</w:t>
      </w:r>
      <w:bookmarkEnd w:id="87"/>
    </w:p>
    <w:p>
      <w:pPr>
        <w:outlineLvl w:val="2"/>
        <w:rPr>
          <w:rFonts w:hint="eastAsia" w:ascii="仿宋" w:hAnsi="仿宋" w:eastAsia="仿宋"/>
          <w:sz w:val="33"/>
          <w:szCs w:val="33"/>
        </w:rPr>
      </w:pPr>
      <w:bookmarkStart w:id="88" w:name="_Toc13632"/>
      <w:r>
        <w:rPr>
          <w:rFonts w:hint="eastAsia" w:ascii="仿宋" w:hAnsi="仿宋" w:eastAsia="仿宋"/>
          <w:sz w:val="33"/>
          <w:szCs w:val="33"/>
        </w:rPr>
        <w:t>十、政府性基金预算财政拨款收入支出决算表</w:t>
      </w:r>
      <w:bookmarkEnd w:id="88"/>
    </w:p>
    <w:p>
      <w:pPr>
        <w:outlineLvl w:val="2"/>
        <w:rPr>
          <w:rFonts w:hint="eastAsia" w:ascii="仿宋" w:hAnsi="仿宋" w:eastAsia="仿宋"/>
          <w:sz w:val="33"/>
          <w:szCs w:val="33"/>
        </w:rPr>
      </w:pPr>
      <w:bookmarkStart w:id="89" w:name="_Toc17251"/>
      <w:r>
        <w:rPr>
          <w:rFonts w:hint="eastAsia" w:ascii="仿宋" w:hAnsi="仿宋" w:eastAsia="仿宋"/>
          <w:sz w:val="33"/>
          <w:szCs w:val="33"/>
        </w:rPr>
        <w:t>十一、国有资本经营预算财政拨款收入支出决算表</w:t>
      </w:r>
      <w:bookmarkEnd w:id="89"/>
    </w:p>
    <w:p>
      <w:pPr>
        <w:outlineLvl w:val="2"/>
        <w:rPr>
          <w:rFonts w:hint="eastAsia" w:ascii="仿宋" w:hAnsi="仿宋" w:eastAsia="仿宋"/>
          <w:sz w:val="33"/>
          <w:szCs w:val="33"/>
        </w:rPr>
      </w:pPr>
      <w:bookmarkStart w:id="90" w:name="_Toc12409"/>
      <w:r>
        <w:rPr>
          <w:rFonts w:hint="eastAsia" w:ascii="仿宋" w:hAnsi="仿宋" w:eastAsia="仿宋"/>
          <w:sz w:val="33"/>
          <w:szCs w:val="33"/>
        </w:rPr>
        <w:t>十二、国有资本经营预算财政拨款支出决算表</w:t>
      </w:r>
      <w:bookmarkEnd w:id="90"/>
    </w:p>
    <w:p>
      <w:pPr>
        <w:outlineLvl w:val="2"/>
        <w:rPr>
          <w:rFonts w:hint="eastAsia" w:ascii="仿宋" w:hAnsi="仿宋" w:eastAsia="仿宋"/>
          <w:sz w:val="33"/>
          <w:szCs w:val="33"/>
        </w:rPr>
      </w:pPr>
      <w:bookmarkStart w:id="91" w:name="_Toc30952"/>
      <w:r>
        <w:rPr>
          <w:rFonts w:hint="eastAsia" w:ascii="仿宋" w:hAnsi="仿宋" w:eastAsia="仿宋"/>
          <w:sz w:val="33"/>
          <w:szCs w:val="33"/>
        </w:rPr>
        <w:t>十三、财政拨款“三公”经费支出决算表</w:t>
      </w:r>
      <w:bookmarkEnd w:id="9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031F40-0CF1-4F84-9630-8C37AACD53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9A91DB43-3268-48EC-913B-83863BDD1DB9}"/>
  </w:font>
  <w:font w:name="方正仿宋_GB2312">
    <w:panose1 w:val="02000000000000000000"/>
    <w:charset w:val="86"/>
    <w:family w:val="auto"/>
    <w:pitch w:val="default"/>
    <w:sig w:usb0="00000000" w:usb1="00000000" w:usb2="00000000" w:usb3="00000000" w:csb0="00000000" w:csb1="00000000"/>
    <w:embedRegular r:id="rId3" w:fontKey="{F8AE2838-D2D0-4B85-BB20-84A526E6578B}"/>
  </w:font>
  <w:font w:name="仿宋">
    <w:panose1 w:val="02010609060101010101"/>
    <w:charset w:val="86"/>
    <w:family w:val="modern"/>
    <w:pitch w:val="default"/>
    <w:sig w:usb0="800002BF" w:usb1="38CF7CFA" w:usb2="00000016" w:usb3="00000000" w:csb0="00040001" w:csb1="00000000"/>
    <w:embedRegular r:id="rId4" w:fontKey="{B552EB2C-D588-43C5-AAED-F8B0E16C149B}"/>
  </w:font>
  <w:font w:name="汉仪雅酷黑简">
    <w:altName w:val="黑体"/>
    <w:panose1 w:val="00020600040101010101"/>
    <w:charset w:val="86"/>
    <w:family w:val="auto"/>
    <w:pitch w:val="default"/>
    <w:sig w:usb0="00000000" w:usb1="00000000" w:usb2="00000016" w:usb3="00000000" w:csb0="0004009F" w:csb1="DFD70000"/>
  </w:font>
  <w:font w:name="方正小标宋简体">
    <w:panose1 w:val="02010601030101010101"/>
    <w:charset w:val="86"/>
    <w:family w:val="script"/>
    <w:pitch w:val="default"/>
    <w:sig w:usb0="00000001" w:usb1="080E0000" w:usb2="00000000" w:usb3="00000000" w:csb0="00040000" w:csb1="00000000"/>
    <w:embedRegular r:id="rId5" w:fontKey="{D3FC7EDE-95FE-48CF-8A1D-8C4D6108684D}"/>
  </w:font>
  <w:font w:name="方正仿宋_GBK">
    <w:panose1 w:val="03000509000000000000"/>
    <w:charset w:val="86"/>
    <w:family w:val="script"/>
    <w:pitch w:val="default"/>
    <w:sig w:usb0="00000001" w:usb1="080E0000" w:usb2="00000000" w:usb3="00000000" w:csb0="00040000" w:csb1="00000000"/>
    <w:embedRegular r:id="rId6" w:fontKey="{3B826AEC-984A-4145-A100-31388E5CE74C}"/>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embedRegular r:id="rId7" w:fontKey="{09D16B32-E3E6-40DC-A2FD-78914F98FFF6}"/>
  </w:font>
  <w:font w:name="楷体_GB2312">
    <w:panose1 w:val="02010609030101010101"/>
    <w:charset w:val="86"/>
    <w:family w:val="modern"/>
    <w:pitch w:val="default"/>
    <w:sig w:usb0="00000001" w:usb1="080E0000" w:usb2="00000000" w:usb3="00000000" w:csb0="00040000" w:csb1="00000000"/>
    <w:embedRegular r:id="rId8" w:fontKey="{0D40A9ED-EB6A-414E-AA81-2BEDB1C596D4}"/>
  </w:font>
  <w:font w:name="___WRD_EMBED_SUB_50">
    <w:panose1 w:val="02000000000000000000"/>
    <w:charset w:val="86"/>
    <w:family w:val="script"/>
    <w:pitch w:val="default"/>
    <w:sig w:usb0="00000000" w:usb1="00000000" w:usb2="00000000" w:usb3="00000000" w:csb0="00000000" w:csb1="00000000"/>
    <w:embedRegular r:id="rId9" w:fontKey="{76D9620E-3CD3-4317-98DC-13E23B8091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23</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71BA47"/>
    <w:multiLevelType w:val="singleLevel"/>
    <w:tmpl w:val="C671BA47"/>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wYjI4MTE1NDAzNWRiODljZjhiNzRlMDhmMDBiMWYifQ=="/>
  </w:docVars>
  <w:rsids>
    <w:rsidRoot w:val="00F1361C"/>
    <w:rsid w:val="00013E47"/>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449A"/>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1CDF"/>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A74A1"/>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827A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3984"/>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1F6B"/>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0451E"/>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B7CE1"/>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0F83"/>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996F6E"/>
    <w:rsid w:val="07DFD8BA"/>
    <w:rsid w:val="0A2032A3"/>
    <w:rsid w:val="0D35B1ED"/>
    <w:rsid w:val="0E7ED1F5"/>
    <w:rsid w:val="0F98263C"/>
    <w:rsid w:val="101860EC"/>
    <w:rsid w:val="10807913"/>
    <w:rsid w:val="10C055FF"/>
    <w:rsid w:val="118107EC"/>
    <w:rsid w:val="13BF6158"/>
    <w:rsid w:val="13D50BC4"/>
    <w:rsid w:val="13F5616D"/>
    <w:rsid w:val="16BB723D"/>
    <w:rsid w:val="178A0F67"/>
    <w:rsid w:val="17F9714D"/>
    <w:rsid w:val="1918F934"/>
    <w:rsid w:val="1BE8440E"/>
    <w:rsid w:val="1D155CEE"/>
    <w:rsid w:val="1DFBC4B3"/>
    <w:rsid w:val="1E740ACF"/>
    <w:rsid w:val="1F19C781"/>
    <w:rsid w:val="1F33FCE5"/>
    <w:rsid w:val="1F7F7398"/>
    <w:rsid w:val="1FD2DB6F"/>
    <w:rsid w:val="1FF35744"/>
    <w:rsid w:val="1FF6BC77"/>
    <w:rsid w:val="1FF9236D"/>
    <w:rsid w:val="222216A7"/>
    <w:rsid w:val="2333840E"/>
    <w:rsid w:val="23860B96"/>
    <w:rsid w:val="240371BF"/>
    <w:rsid w:val="240B09BB"/>
    <w:rsid w:val="257C638F"/>
    <w:rsid w:val="27DF6C0B"/>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3254FA"/>
    <w:rsid w:val="457F4F6B"/>
    <w:rsid w:val="4737FB58"/>
    <w:rsid w:val="47ECCB02"/>
    <w:rsid w:val="47FA6A3F"/>
    <w:rsid w:val="488656E0"/>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AB6B88"/>
    <w:rsid w:val="53F74C96"/>
    <w:rsid w:val="5583522D"/>
    <w:rsid w:val="55C23852"/>
    <w:rsid w:val="57BD3DD4"/>
    <w:rsid w:val="57F9CD1E"/>
    <w:rsid w:val="5AC43FE1"/>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8C62F8"/>
    <w:rsid w:val="5FBF9FF3"/>
    <w:rsid w:val="5FCD4E2C"/>
    <w:rsid w:val="5FEF394A"/>
    <w:rsid w:val="5FF67715"/>
    <w:rsid w:val="61CA71D5"/>
    <w:rsid w:val="627EE9EA"/>
    <w:rsid w:val="63B23AA5"/>
    <w:rsid w:val="647F5392"/>
    <w:rsid w:val="64E322C4"/>
    <w:rsid w:val="65FB93B9"/>
    <w:rsid w:val="6633C463"/>
    <w:rsid w:val="67D55B77"/>
    <w:rsid w:val="67EE7F84"/>
    <w:rsid w:val="686F5F53"/>
    <w:rsid w:val="696E4FC6"/>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8126A72"/>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方正仿宋_GB2312"/>
      <w:szCs w:val="32"/>
    </w:rPr>
  </w:style>
  <w:style w:type="paragraph" w:styleId="7">
    <w:name w:val="Body Text"/>
    <w:basedOn w:val="1"/>
    <w:link w:val="26"/>
    <w:qFormat/>
    <w:uiPriority w:val="99"/>
    <w:pPr>
      <w:spacing w:beforeLines="30"/>
    </w:pPr>
    <w:rPr>
      <w:rFonts w:ascii="方正仿宋_GB2312" w:eastAsia="方正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2"/>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7"/>
    <w:qFormat/>
    <w:locked/>
    <w:uiPriority w:val="99"/>
    <w:rPr>
      <w:rFonts w:ascii="方正仿宋_GB2312" w:hAnsi="Times New Roman" w:eastAsia="方正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4"/>
    <w:qFormat/>
    <w:uiPriority w:val="9"/>
    <w:rPr>
      <w:rFonts w:ascii="Times New Roman" w:hAnsi="Times New Roman"/>
      <w:b/>
      <w:bCs/>
      <w:kern w:val="44"/>
      <w:sz w:val="44"/>
      <w:szCs w:val="44"/>
    </w:rPr>
  </w:style>
  <w:style w:type="character" w:customStyle="1" w:styleId="30">
    <w:name w:val="标题 2 字符"/>
    <w:basedOn w:val="17"/>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10"/>
    <w:semiHidden/>
    <w:qFormat/>
    <w:uiPriority w:val="99"/>
    <w:rPr>
      <w:rFonts w:ascii="Times New Roman" w:hAnsi="Times New Roman"/>
      <w:kern w:val="2"/>
      <w:sz w:val="18"/>
      <w:szCs w:val="18"/>
    </w:rPr>
  </w:style>
  <w:style w:type="character" w:customStyle="1" w:styleId="33">
    <w:name w:val="标题 3 字符"/>
    <w:basedOn w:val="17"/>
    <w:link w:val="6"/>
    <w:qFormat/>
    <w:uiPriority w:val="9"/>
    <w:rPr>
      <w:rFonts w:ascii="Times New Roman" w:hAnsi="Times New Roman"/>
      <w:b/>
      <w:bCs/>
      <w:kern w:val="2"/>
      <w:sz w:val="32"/>
      <w:szCs w:val="32"/>
    </w:rPr>
  </w:style>
  <w:style w:type="paragraph" w:customStyle="1" w:styleId="3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汉仪雅酷黑简" w:hAnsi="汉仪雅酷黑简"/>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image" Target="../media/image1.png"/><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72708113804"/>
          <c:y val="0.0287485907553551"/>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
                </c:pt>
              </c:strCache>
            </c:strRef>
          </c:tx>
          <c:spPr>
            <a:blipFill>
              <a:blip xmlns:r="http://schemas.openxmlformats.org/officeDocument/2006/relationships" r:embed="rId2"/>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1">
                  <c:v>2022</c:v>
                </c:pt>
                <c:pt idx="2">
                  <c:v>2023</c:v>
                </c:pt>
              </c:numCache>
            </c:numRef>
          </c:cat>
          <c:val>
            <c:numRef>
              <c:f>Sheet1!$B$2:$B$5</c:f>
              <c:numCache>
                <c:formatCode>General</c:formatCode>
                <c:ptCount val="4"/>
              </c:numCache>
            </c:numRef>
          </c:val>
        </c:ser>
        <c:ser>
          <c:idx val="1"/>
          <c:order val="1"/>
          <c:tx>
            <c:strRef>
              <c:f>Sheet1!$C$1</c:f>
              <c:strCache>
                <c:ptCount val="1"/>
                <c:pt idx="0">
                  <c:v>2022年</c:v>
                </c:pt>
              </c:strCache>
            </c:strRef>
          </c:tx>
          <c:spPr>
            <a:blipFill>
              <a:blip xmlns:r="http://schemas.openxmlformats.org/officeDocument/2006/relationships" r:embed="rId3"/>
              <a:stretch>
                <a:fillRect/>
              </a:stretch>
            </a:blipFill>
            <a:ln w="3175">
              <a:solidFill>
                <a:schemeClr val="bg1"/>
              </a:solidFill>
            </a:ln>
            <a:effectLst/>
          </c:spPr>
          <c:invertIfNegative val="0"/>
          <c:pictureOptions>
            <c:pictureFormat val="stack"/>
          </c:pictureOptions>
          <c:dLbls>
            <c:dLbl>
              <c:idx val="1"/>
              <c:layout>
                <c:manualLayout>
                  <c:x val="-0.0155050429023032"/>
                  <c:y val="-0.186865839909808"/>
                </c:manualLayout>
              </c:layout>
              <c:tx>
                <c:rich>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r>
                      <a:rPr lang="en-US" altLang="zh-CN">
                        <a:solidFill>
                          <a:sysClr val="windowText" lastClr="000000"/>
                        </a:solidFill>
                      </a:rPr>
                      <a:t>3</a:t>
                    </a:r>
                    <a:r>
                      <a:rPr lang="en-US" altLang="zh-CN" sz="900">
                        <a:solidFill>
                          <a:sysClr val="windowText" lastClr="000000"/>
                        </a:solidFill>
                      </a:rPr>
                      <a:t>568.18</a:t>
                    </a:r>
                    <a:endParaRPr lang="en-US" altLang="zh-CN" sz="900">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1">
                  <c:v>2022</c:v>
                </c:pt>
                <c:pt idx="2">
                  <c:v>2023</c:v>
                </c:pt>
              </c:numCache>
            </c:numRef>
          </c:cat>
          <c:val>
            <c:numRef>
              <c:f>Sheet1!$C$2:$C$5</c:f>
              <c:numCache>
                <c:formatCode>General</c:formatCode>
                <c:ptCount val="4"/>
                <c:pt idx="1">
                  <c:v>3568.18</c:v>
                </c:pt>
              </c:numCache>
            </c:numRef>
          </c:val>
        </c:ser>
        <c:ser>
          <c:idx val="2"/>
          <c:order val="2"/>
          <c:tx>
            <c:strRef>
              <c:f>Sheet1!$D$1</c:f>
              <c:strCache>
                <c:ptCount val="1"/>
                <c:pt idx="0">
                  <c:v>2023年</c:v>
                </c:pt>
              </c:strCache>
            </c:strRef>
          </c:tx>
          <c:spPr>
            <a:blipFill>
              <a:blip xmlns:r="http://schemas.openxmlformats.org/officeDocument/2006/relationships" r:embed="rId4"/>
              <a:stretch>
                <a:fillRect/>
              </a:stretch>
            </a:blipFill>
            <a:ln w="3175">
              <a:solidFill>
                <a:schemeClr val="bg1"/>
              </a:solidFill>
            </a:ln>
            <a:effectLst/>
          </c:spPr>
          <c:invertIfNegative val="0"/>
          <c:pictureOptions>
            <c:pictureFormat val="stack"/>
          </c:pictureOptions>
          <c:dLbls>
            <c:dLbl>
              <c:idx val="2"/>
              <c:layout>
                <c:manualLayout>
                  <c:x val="0.0126448893572181"/>
                  <c:y val="-0.173900789177001"/>
                </c:manualLayout>
              </c:layout>
              <c:tx>
                <c:rich>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r>
                      <a:rPr lang="en-US" altLang="zh-CN" sz="900">
                        <a:solidFill>
                          <a:sysClr val="windowText" lastClr="000000"/>
                        </a:solidFill>
                      </a:rPr>
                      <a:t>3692.99</a:t>
                    </a:r>
                    <a:endParaRPr lang="en-US" altLang="zh-CN" sz="900">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1">
                  <c:v>2022</c:v>
                </c:pt>
                <c:pt idx="2">
                  <c:v>2023</c:v>
                </c:pt>
              </c:numCache>
            </c:numRef>
          </c:cat>
          <c:val>
            <c:numRef>
              <c:f>Sheet1!$D$2:$D$5</c:f>
              <c:numCache>
                <c:formatCode>General</c:formatCode>
                <c:ptCount val="4"/>
                <c:pt idx="2">
                  <c:v>3692.99</c:v>
                </c:pt>
              </c:numCache>
            </c:numRef>
          </c:val>
        </c:ser>
        <c:dLbls>
          <c:showLegendKey val="0"/>
          <c:showVal val="1"/>
          <c:showCatName val="0"/>
          <c:showSerName val="0"/>
          <c:showPercent val="0"/>
          <c:showBubbleSize val="0"/>
        </c:dLbls>
        <c:gapWidth val="160"/>
        <c:axId val="632020008"/>
        <c:axId val="156059363"/>
      </c:barChart>
      <c:catAx>
        <c:axId val="632020008"/>
        <c:scaling>
          <c:orientation val="minMax"/>
        </c:scaling>
        <c:delete val="0"/>
        <c:axPos val="b"/>
        <c:numFmt formatCode="General" sourceLinked="1"/>
        <c:majorTickMark val="none"/>
        <c:minorTickMark val="none"/>
        <c:tickLblPos val="nextTo"/>
        <c:spPr>
          <a:noFill/>
          <a:ln w="190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156059363"/>
        <c:crosses val="autoZero"/>
        <c:auto val="1"/>
        <c:lblAlgn val="ctr"/>
        <c:lblOffset val="100"/>
        <c:noMultiLvlLbl val="0"/>
      </c:catAx>
      <c:valAx>
        <c:axId val="156059363"/>
        <c:scaling>
          <c:orientation val="minMax"/>
        </c:scaling>
        <c:delete val="0"/>
        <c:axPos val="l"/>
        <c:majorGridlines>
          <c:spPr>
            <a:ln w="9525" cap="flat" cmpd="sng" algn="ctr">
              <a:solidFill>
                <a:schemeClr val="bg1">
                  <a:lumMod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632020008"/>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legend>
    <c:plotVisOnly val="1"/>
    <c:dispBlanksAs val="gap"/>
    <c:showDLblsOverMax val="0"/>
  </c:chart>
  <c:spPr>
    <a:solidFill>
      <a:schemeClr val="bg1"/>
    </a:solidFill>
    <a:ln w="9525" cap="flat" cmpd="sng" algn="ctr">
      <a:solidFill>
        <a:schemeClr val="bg1">
          <a:lumMod val="95000"/>
        </a:schemeClr>
      </a:solidFill>
      <a:prstDash val="solid"/>
      <a:round/>
    </a:ln>
    <a:effectLst/>
  </c:spPr>
  <c:txPr>
    <a:bodyPr/>
    <a:lstStyle/>
    <a:p>
      <a:pPr>
        <a:defRPr lang="zh-CN">
          <a:solidFill>
            <a:srgbClr val="175A83"/>
          </a:solidFill>
          <a:latin typeface="Arial" panose="020B0604020202020204" pitchFamily="2" charset="0"/>
          <a:ea typeface="微软雅黑" panose="020B0503020204020204" charset="-122"/>
          <a:cs typeface="Arial" panose="020B0604020202020204" pitchFamily="2"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29466791393826"/>
          <c:y val="0.186425541415495"/>
          <c:w val="0.424295068822665"/>
          <c:h val="0.708863585621791"/>
        </c:manualLayout>
      </c:layout>
      <c:pieChart>
        <c:varyColors val="1"/>
        <c:ser>
          <c:idx val="0"/>
          <c:order val="0"/>
          <c:tx>
            <c:strRef>
              <c:f>Sheet1!$B$1</c:f>
              <c:strCache>
                <c:ptCount val="1"/>
                <c:pt idx="0">
                  <c:v>列1</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Lbls>
            <c:dLbl>
              <c:idx val="0"/>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1"/>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2"/>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3"/>
              <c:layout/>
              <c:dLblPos val="ctr"/>
              <c:showLegendKey val="0"/>
              <c:showVal val="0"/>
              <c:showCatName val="0"/>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3692.99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0.0160363490578645"/>
          <c:y val="0.376200044652824"/>
          <c:w val="0.120005345449686"/>
          <c:h val="0.346282652377763"/>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blipFill rotWithShape="1">
      <a:blip xmlns:r="http://schemas.openxmlformats.org/officeDocument/2006/relationships" r:embed="rId2"/>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29466791393826"/>
          <c:y val="0.186425541415495"/>
          <c:w val="0.424295068822665"/>
          <c:h val="0.708863585621791"/>
        </c:manualLayout>
      </c:layout>
      <c:pieChart>
        <c:varyColors val="1"/>
        <c:ser>
          <c:idx val="0"/>
          <c:order val="0"/>
          <c:tx>
            <c:strRef>
              <c:f>Sheet1!$B$1</c:f>
              <c:strCache>
                <c:ptCount val="1"/>
                <c:pt idx="0">
                  <c:v>列1</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Lbls>
            <c:dLbl>
              <c:idx val="0"/>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1"/>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2"/>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3"/>
              <c:layout/>
              <c:dLblPos val="ctr"/>
              <c:showLegendKey val="0"/>
              <c:showVal val="0"/>
              <c:showCatName val="0"/>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项目支出</c:v>
                </c:pt>
                <c:pt idx="1">
                  <c:v>基本支出</c:v>
                </c:pt>
              </c:strCache>
            </c:strRef>
          </c:cat>
          <c:val>
            <c:numRef>
              <c:f>Sheet1!$B$2:$B$5</c:f>
              <c:numCache>
                <c:formatCode>General</c:formatCode>
                <c:ptCount val="4"/>
                <c:pt idx="0">
                  <c:v>1080.19</c:v>
                </c:pt>
                <c:pt idx="1">
                  <c:v>2612.79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l"/>
      <c:legendEntry>
        <c:idx val="2"/>
        <c:delete val="1"/>
      </c:legendEntry>
      <c:legendEntry>
        <c:idx val="3"/>
        <c:delete val="1"/>
      </c:legendEntry>
      <c:layout>
        <c:manualLayout>
          <c:xMode val="edge"/>
          <c:yMode val="edge"/>
          <c:x val="0.0160363490578645"/>
          <c:y val="0.376200044652824"/>
          <c:w val="0.120005345449686"/>
          <c:h val="0.346282652377763"/>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blipFill rotWithShape="1">
      <a:blip xmlns:r="http://schemas.openxmlformats.org/officeDocument/2006/relationships" r:embed="rId2"/>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72708113804"/>
          <c:y val="0.0287485907553551"/>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
                </c:pt>
              </c:strCache>
            </c:strRef>
          </c:tx>
          <c:spPr>
            <a:blipFill>
              <a:blip xmlns:r="http://schemas.openxmlformats.org/officeDocument/2006/relationships" r:embed="rId2"/>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1">
                  <c:v>2022年总收支</c:v>
                </c:pt>
                <c:pt idx="2">
                  <c:v>2023年总收支</c:v>
                </c:pt>
              </c:strCache>
            </c:strRef>
          </c:cat>
          <c:val>
            <c:numRef>
              <c:f>Sheet1!$B$2:$B$5</c:f>
              <c:numCache>
                <c:formatCode>General</c:formatCode>
                <c:ptCount val="4"/>
              </c:numCache>
            </c:numRef>
          </c:val>
        </c:ser>
        <c:ser>
          <c:idx val="1"/>
          <c:order val="1"/>
          <c:tx>
            <c:strRef>
              <c:f>Sheet1!$C$1</c:f>
              <c:strCache>
                <c:ptCount val="1"/>
                <c:pt idx="0">
                  <c:v>2022年</c:v>
                </c:pt>
              </c:strCache>
            </c:strRef>
          </c:tx>
          <c:spPr>
            <a:blipFill>
              <a:blip xmlns:r="http://schemas.openxmlformats.org/officeDocument/2006/relationships" r:embed="rId3"/>
              <a:stretch>
                <a:fillRect/>
              </a:stretch>
            </a:blipFill>
            <a:ln w="3175">
              <a:solidFill>
                <a:schemeClr val="bg1"/>
              </a:solidFill>
            </a:ln>
            <a:effectLst/>
          </c:spPr>
          <c:invertIfNegative val="0"/>
          <c:pictureOptions>
            <c:pictureFormat val="stack"/>
          </c:pictureOptions>
          <c:dLbls>
            <c:dLbl>
              <c:idx val="1"/>
              <c:layout>
                <c:manualLayout>
                  <c:x val="-0.0155050429023032"/>
                  <c:y val="-0.186865839909808"/>
                </c:manualLayout>
              </c:layout>
              <c:tx>
                <c:rich>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r>
                      <a:rPr lang="en-US" altLang="zh-CN">
                        <a:solidFill>
                          <a:sysClr val="windowText" lastClr="000000"/>
                        </a:solidFill>
                      </a:rPr>
                      <a:t>3</a:t>
                    </a:r>
                    <a:r>
                      <a:rPr lang="en-US" altLang="zh-CN" sz="900">
                        <a:solidFill>
                          <a:sysClr val="windowText" lastClr="000000"/>
                        </a:solidFill>
                      </a:rPr>
                      <a:t>568.18</a:t>
                    </a:r>
                    <a:endParaRPr lang="en-US" altLang="zh-CN" sz="900">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1">
                  <c:v>2022年总收支</c:v>
                </c:pt>
                <c:pt idx="2">
                  <c:v>2023年总收支</c:v>
                </c:pt>
              </c:strCache>
            </c:strRef>
          </c:cat>
          <c:val>
            <c:numRef>
              <c:f>Sheet1!$C$2:$C$5</c:f>
              <c:numCache>
                <c:formatCode>General</c:formatCode>
                <c:ptCount val="4"/>
                <c:pt idx="1">
                  <c:v>3568.18</c:v>
                </c:pt>
              </c:numCache>
            </c:numRef>
          </c:val>
        </c:ser>
        <c:ser>
          <c:idx val="2"/>
          <c:order val="2"/>
          <c:tx>
            <c:strRef>
              <c:f>Sheet1!$D$1</c:f>
              <c:strCache>
                <c:ptCount val="1"/>
                <c:pt idx="0">
                  <c:v>2023年</c:v>
                </c:pt>
              </c:strCache>
            </c:strRef>
          </c:tx>
          <c:spPr>
            <a:blipFill>
              <a:blip xmlns:r="http://schemas.openxmlformats.org/officeDocument/2006/relationships" r:embed="rId4"/>
              <a:stretch>
                <a:fillRect/>
              </a:stretch>
            </a:blipFill>
            <a:ln w="3175">
              <a:solidFill>
                <a:schemeClr val="bg1"/>
              </a:solidFill>
            </a:ln>
            <a:effectLst/>
          </c:spPr>
          <c:invertIfNegative val="0"/>
          <c:pictureOptions>
            <c:pictureFormat val="stack"/>
          </c:pictureOptions>
          <c:dLbls>
            <c:dLbl>
              <c:idx val="2"/>
              <c:layout>
                <c:manualLayout>
                  <c:x val="0.0126448893572181"/>
                  <c:y val="-0.173900789177001"/>
                </c:manualLayout>
              </c:layout>
              <c:tx>
                <c:rich>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r>
                      <a:rPr lang="en-US" altLang="zh-CN" sz="900">
                        <a:solidFill>
                          <a:sysClr val="windowText" lastClr="000000"/>
                        </a:solidFill>
                      </a:rPr>
                      <a:t>3692.99</a:t>
                    </a:r>
                    <a:endParaRPr lang="en-US" altLang="zh-CN" sz="900">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1">
                  <c:v>2022年总收支</c:v>
                </c:pt>
                <c:pt idx="2">
                  <c:v>2023年总收支</c:v>
                </c:pt>
              </c:strCache>
            </c:strRef>
          </c:cat>
          <c:val>
            <c:numRef>
              <c:f>Sheet1!$D$2:$D$5</c:f>
              <c:numCache>
                <c:formatCode>General</c:formatCode>
                <c:ptCount val="4"/>
                <c:pt idx="2">
                  <c:v>3692.99</c:v>
                </c:pt>
              </c:numCache>
            </c:numRef>
          </c:val>
        </c:ser>
        <c:dLbls>
          <c:showLegendKey val="0"/>
          <c:showVal val="1"/>
          <c:showCatName val="0"/>
          <c:showSerName val="0"/>
          <c:showPercent val="0"/>
          <c:showBubbleSize val="0"/>
        </c:dLbls>
        <c:gapWidth val="160"/>
        <c:axId val="632020008"/>
        <c:axId val="156059363"/>
      </c:barChart>
      <c:catAx>
        <c:axId val="632020008"/>
        <c:scaling>
          <c:orientation val="minMax"/>
        </c:scaling>
        <c:delete val="0"/>
        <c:axPos val="b"/>
        <c:numFmt formatCode="General" sourceLinked="1"/>
        <c:majorTickMark val="none"/>
        <c:minorTickMark val="none"/>
        <c:tickLblPos val="nextTo"/>
        <c:spPr>
          <a:noFill/>
          <a:ln w="190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156059363"/>
        <c:crosses val="autoZero"/>
        <c:auto val="1"/>
        <c:lblAlgn val="ctr"/>
        <c:lblOffset val="100"/>
        <c:noMultiLvlLbl val="0"/>
      </c:catAx>
      <c:valAx>
        <c:axId val="156059363"/>
        <c:scaling>
          <c:orientation val="minMax"/>
        </c:scaling>
        <c:delete val="0"/>
        <c:axPos val="l"/>
        <c:majorGridlines>
          <c:spPr>
            <a:ln w="9525" cap="flat" cmpd="sng" algn="ctr">
              <a:solidFill>
                <a:schemeClr val="bg1">
                  <a:lumMod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632020008"/>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legend>
    <c:plotVisOnly val="1"/>
    <c:dispBlanksAs val="gap"/>
    <c:showDLblsOverMax val="0"/>
  </c:chart>
  <c:spPr>
    <a:solidFill>
      <a:schemeClr val="bg1"/>
    </a:solidFill>
    <a:ln w="9525" cap="flat" cmpd="sng" algn="ctr">
      <a:solidFill>
        <a:schemeClr val="bg1">
          <a:lumMod val="95000"/>
        </a:schemeClr>
      </a:solidFill>
      <a:prstDash val="solid"/>
      <a:round/>
    </a:ln>
    <a:effectLst/>
  </c:spPr>
  <c:txPr>
    <a:bodyPr/>
    <a:lstStyle/>
    <a:p>
      <a:pPr>
        <a:defRPr lang="zh-CN">
          <a:solidFill>
            <a:srgbClr val="175A83"/>
          </a:solidFill>
          <a:latin typeface="Arial" panose="020B0604020202020204" pitchFamily="2" charset="0"/>
          <a:ea typeface="微软雅黑" panose="020B0503020204020204" charset="-122"/>
          <a:cs typeface="Arial" panose="020B0604020202020204" pitchFamily="2"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72708113804"/>
          <c:y val="0.0287485907553551"/>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
                </c:pt>
              </c:strCache>
            </c:strRef>
          </c:tx>
          <c:spPr>
            <a:blipFill>
              <a:blip xmlns:r="http://schemas.openxmlformats.org/officeDocument/2006/relationships" r:embed="rId2"/>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1">
                  <c:v>2022</c:v>
                </c:pt>
                <c:pt idx="2">
                  <c:v>2023</c:v>
                </c:pt>
              </c:numCache>
            </c:numRef>
          </c:cat>
          <c:val>
            <c:numRef>
              <c:f>Sheet1!$B$2:$B$5</c:f>
              <c:numCache>
                <c:formatCode>General</c:formatCode>
                <c:ptCount val="4"/>
              </c:numCache>
            </c:numRef>
          </c:val>
        </c:ser>
        <c:ser>
          <c:idx val="1"/>
          <c:order val="1"/>
          <c:tx>
            <c:strRef>
              <c:f>Sheet1!$C$1</c:f>
              <c:strCache>
                <c:ptCount val="1"/>
                <c:pt idx="0">
                  <c:v>2022年</c:v>
                </c:pt>
              </c:strCache>
            </c:strRef>
          </c:tx>
          <c:spPr>
            <a:blipFill>
              <a:blip xmlns:r="http://schemas.openxmlformats.org/officeDocument/2006/relationships" r:embed="rId3"/>
              <a:stretch>
                <a:fillRect/>
              </a:stretch>
            </a:blipFill>
            <a:ln w="3175">
              <a:solidFill>
                <a:schemeClr val="bg1"/>
              </a:solidFill>
            </a:ln>
            <a:effectLst/>
          </c:spPr>
          <c:invertIfNegative val="0"/>
          <c:pictureOptions>
            <c:pictureFormat val="stack"/>
          </c:pictureOptions>
          <c:dLbls>
            <c:dLbl>
              <c:idx val="1"/>
              <c:layout>
                <c:manualLayout>
                  <c:x val="-0.0155050429023032"/>
                  <c:y val="-0.186865839909808"/>
                </c:manualLayout>
              </c:layout>
              <c:tx>
                <c:rich>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r>
                      <a:rPr lang="en-US" altLang="zh-CN">
                        <a:solidFill>
                          <a:sysClr val="windowText" lastClr="000000"/>
                        </a:solidFill>
                      </a:rPr>
                      <a:t>3</a:t>
                    </a:r>
                    <a:r>
                      <a:rPr lang="en-US" altLang="zh-CN" sz="900">
                        <a:solidFill>
                          <a:sysClr val="windowText" lastClr="000000"/>
                        </a:solidFill>
                      </a:rPr>
                      <a:t>568.18</a:t>
                    </a:r>
                    <a:endParaRPr lang="en-US" altLang="zh-CN" sz="900">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1">
                  <c:v>2022</c:v>
                </c:pt>
                <c:pt idx="2">
                  <c:v>2023</c:v>
                </c:pt>
              </c:numCache>
            </c:numRef>
          </c:cat>
          <c:val>
            <c:numRef>
              <c:f>Sheet1!$C$2:$C$5</c:f>
              <c:numCache>
                <c:formatCode>General</c:formatCode>
                <c:ptCount val="4"/>
                <c:pt idx="1">
                  <c:v>3568.18</c:v>
                </c:pt>
              </c:numCache>
            </c:numRef>
          </c:val>
        </c:ser>
        <c:ser>
          <c:idx val="2"/>
          <c:order val="2"/>
          <c:tx>
            <c:strRef>
              <c:f>Sheet1!$D$1</c:f>
              <c:strCache>
                <c:ptCount val="1"/>
                <c:pt idx="0">
                  <c:v>2023年</c:v>
                </c:pt>
              </c:strCache>
            </c:strRef>
          </c:tx>
          <c:spPr>
            <a:blipFill>
              <a:blip xmlns:r="http://schemas.openxmlformats.org/officeDocument/2006/relationships" r:embed="rId4"/>
              <a:stretch>
                <a:fillRect/>
              </a:stretch>
            </a:blipFill>
            <a:ln w="3175">
              <a:solidFill>
                <a:schemeClr val="bg1"/>
              </a:solidFill>
            </a:ln>
            <a:effectLst/>
          </c:spPr>
          <c:invertIfNegative val="0"/>
          <c:pictureOptions>
            <c:pictureFormat val="stack"/>
          </c:pictureOptions>
          <c:dLbls>
            <c:dLbl>
              <c:idx val="2"/>
              <c:layout>
                <c:manualLayout>
                  <c:x val="0.0126448893572181"/>
                  <c:y val="-0.173900789177001"/>
                </c:manualLayout>
              </c:layout>
              <c:tx>
                <c:rich>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r>
                      <a:rPr lang="en-US" altLang="zh-CN" sz="900">
                        <a:solidFill>
                          <a:sysClr val="windowText" lastClr="000000"/>
                        </a:solidFill>
                      </a:rPr>
                      <a:t>3692.99</a:t>
                    </a:r>
                    <a:endParaRPr lang="en-US" altLang="zh-CN" sz="900">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175A83"/>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1">
                  <c:v>2022</c:v>
                </c:pt>
                <c:pt idx="2">
                  <c:v>2023</c:v>
                </c:pt>
              </c:numCache>
            </c:numRef>
          </c:cat>
          <c:val>
            <c:numRef>
              <c:f>Sheet1!$D$2:$D$5</c:f>
              <c:numCache>
                <c:formatCode>General</c:formatCode>
                <c:ptCount val="4"/>
                <c:pt idx="2">
                  <c:v>3692.99</c:v>
                </c:pt>
              </c:numCache>
            </c:numRef>
          </c:val>
        </c:ser>
        <c:dLbls>
          <c:showLegendKey val="0"/>
          <c:showVal val="1"/>
          <c:showCatName val="0"/>
          <c:showSerName val="0"/>
          <c:showPercent val="0"/>
          <c:showBubbleSize val="0"/>
        </c:dLbls>
        <c:gapWidth val="160"/>
        <c:axId val="632020008"/>
        <c:axId val="156059363"/>
      </c:barChart>
      <c:catAx>
        <c:axId val="632020008"/>
        <c:scaling>
          <c:orientation val="minMax"/>
        </c:scaling>
        <c:delete val="0"/>
        <c:axPos val="b"/>
        <c:numFmt formatCode="General" sourceLinked="1"/>
        <c:majorTickMark val="none"/>
        <c:minorTickMark val="none"/>
        <c:tickLblPos val="nextTo"/>
        <c:spPr>
          <a:noFill/>
          <a:ln w="190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156059363"/>
        <c:crosses val="autoZero"/>
        <c:auto val="1"/>
        <c:lblAlgn val="ctr"/>
        <c:lblOffset val="100"/>
        <c:noMultiLvlLbl val="0"/>
      </c:catAx>
      <c:valAx>
        <c:axId val="156059363"/>
        <c:scaling>
          <c:orientation val="minMax"/>
        </c:scaling>
        <c:delete val="0"/>
        <c:axPos val="l"/>
        <c:majorGridlines>
          <c:spPr>
            <a:ln w="9525" cap="flat" cmpd="sng" algn="ctr">
              <a:solidFill>
                <a:schemeClr val="bg1">
                  <a:lumMod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632020008"/>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legend>
    <c:plotVisOnly val="1"/>
    <c:dispBlanksAs val="gap"/>
    <c:showDLblsOverMax val="0"/>
  </c:chart>
  <c:spPr>
    <a:solidFill>
      <a:schemeClr val="bg1"/>
    </a:solidFill>
    <a:ln w="9525" cap="flat" cmpd="sng" algn="ctr">
      <a:solidFill>
        <a:schemeClr val="bg1">
          <a:lumMod val="95000"/>
        </a:schemeClr>
      </a:solidFill>
      <a:prstDash val="solid"/>
      <a:round/>
    </a:ln>
    <a:effectLst/>
  </c:spPr>
  <c:txPr>
    <a:bodyPr/>
    <a:lstStyle/>
    <a:p>
      <a:pPr>
        <a:defRPr lang="zh-CN">
          <a:solidFill>
            <a:srgbClr val="175A83"/>
          </a:solidFill>
          <a:latin typeface="Arial" panose="020B0604020202020204" pitchFamily="2" charset="0"/>
          <a:ea typeface="微软雅黑" panose="020B0503020204020204" charset="-122"/>
          <a:cs typeface="Arial" panose="020B0604020202020204" pitchFamily="2"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29466791393826"/>
          <c:y val="0.186425541415495"/>
          <c:w val="0.424295068822665"/>
          <c:h val="0.708863585621791"/>
        </c:manualLayout>
      </c:layout>
      <c:pieChart>
        <c:varyColors val="1"/>
        <c:ser>
          <c:idx val="0"/>
          <c:order val="0"/>
          <c:tx>
            <c:strRef>
              <c:f>Sheet1!$B$1</c:f>
              <c:strCache>
                <c:ptCount val="1"/>
                <c:pt idx="0">
                  <c:v>列1</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Pt>
            <c:idx val="4"/>
            <c:bubble3D val="0"/>
            <c:spPr>
              <a:solidFill>
                <a:srgbClr val="384C91"/>
              </a:solidFill>
              <a:ln>
                <a:noFill/>
              </a:ln>
              <a:effectLst>
                <a:outerShdw blurRad="63500" sx="102000" sy="102000" algn="ctr" rotWithShape="0">
                  <a:prstClr val="black">
                    <a:alpha val="40000"/>
                  </a:prstClr>
                </a:outerShdw>
              </a:effectLst>
            </c:spPr>
          </c:dPt>
          <c:dPt>
            <c:idx val="5"/>
            <c:bubble3D val="0"/>
            <c:spPr>
              <a:solidFill>
                <a:srgbClr val="384C91"/>
              </a:solidFill>
              <a:ln>
                <a:noFill/>
              </a:ln>
              <a:effectLst>
                <a:outerShdw blurRad="63500" sx="102000" sy="102000" algn="ctr" rotWithShape="0">
                  <a:prstClr val="black">
                    <a:alpha val="40000"/>
                  </a:prstClr>
                </a:outerShdw>
              </a:effectLst>
            </c:spPr>
          </c:dPt>
          <c:dLbls>
            <c:dLbl>
              <c:idx val="1"/>
              <c:layout>
                <c:manualLayout>
                  <c:x val="-0.0888759958712335"/>
                  <c:y val="0.20322012330631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45370645538575"/>
                  <c:y val="0.1302368434657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17854668521161"/>
                  <c:y val="-0.010746198511362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661725924886899"/>
                  <c:y val="-0.10876481644764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700615495901972"/>
                  <c:y val="-0.099713837208488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w="9525" cap="flat" cmpd="sng" algn="ctr">
                <a:solidFill>
                  <a:prstClr val="black"/>
                </a:solidFill>
                <a:prstDash val="dash"/>
              </a:ln>
              <a:effectLst/>
              <a:sp3d>
                <a:extrusionClr>
                  <a:srgbClr val="FFFFFF"/>
                </a:extrusionClr>
                <a:contourClr>
                  <a:srgbClr val="FFFFFF"/>
                </a:contourClr>
              </a:sp3d>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mn-lt"/>
                    <a:ea typeface="+mn-ea"/>
                    <a:cs typeface="+mn-cs"/>
                    <a:sym typeface="微软雅黑" panose="020B0503020204020204"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一般公共服务支出</c:v>
                </c:pt>
                <c:pt idx="1">
                  <c:v>社会保障和就业支出</c:v>
                </c:pt>
                <c:pt idx="2">
                  <c:v>卫生健康支出</c:v>
                </c:pt>
                <c:pt idx="3">
                  <c:v>城乡社区支出</c:v>
                </c:pt>
                <c:pt idx="4">
                  <c:v>农林水支出</c:v>
                </c:pt>
                <c:pt idx="5">
                  <c:v>住房保障支出</c:v>
                </c:pt>
              </c:strCache>
            </c:strRef>
          </c:cat>
          <c:val>
            <c:numRef>
              <c:f>Sheet1!$B$2:$B$7</c:f>
              <c:numCache>
                <c:formatCode>General</c:formatCode>
                <c:ptCount val="6"/>
                <c:pt idx="0">
                  <c:v>2841.94</c:v>
                </c:pt>
                <c:pt idx="1">
                  <c:v>517.25</c:v>
                </c:pt>
                <c:pt idx="2">
                  <c:v>140.71</c:v>
                </c:pt>
                <c:pt idx="3">
                  <c:v>19.86</c:v>
                </c:pt>
                <c:pt idx="4">
                  <c:v>1.89</c:v>
                </c:pt>
                <c:pt idx="5">
                  <c:v>171.35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blipFill rotWithShape="1">
      <a:blip xmlns:r="http://schemas.openxmlformats.org/officeDocument/2006/relationships" r:embed="rId2"/>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66791393826"/>
          <c:y val="0.186425541415495"/>
          <c:w val="0.424295068822665"/>
          <c:h val="0.708863585621791"/>
        </c:manualLayout>
      </c:layout>
      <c:pieChart>
        <c:varyColors val="1"/>
        <c:ser>
          <c:idx val="0"/>
          <c:order val="0"/>
          <c:tx>
            <c:strRef>
              <c:f>Sheet1!$B$1</c:f>
              <c:strCache>
                <c:ptCount val="1"/>
                <c:pt idx="0">
                  <c:v>因公出国（境）费支出</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Lbls>
            <c:dLbl>
              <c:idx val="0"/>
              <c:layout>
                <c:manualLayout>
                  <c:x val="0.178545542401546"/>
                  <c:y val="0.028474288142796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70451799951679"/>
                  <c:y val="-0.049511262218444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62349602180289"/>
                  <c:y val="0.076300813339442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w="9525" cap="flat" cmpd="sng" algn="ctr">
                <a:solidFill>
                  <a:schemeClr val="accent1"/>
                </a:solidFill>
                <a:prstDash val="dash"/>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mn-lt"/>
                    <a:ea typeface="+mn-ea"/>
                    <a:cs typeface="+mn-cs"/>
                    <a:sym typeface="微软雅黑" panose="020B0503020204020204"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24.49</c:v>
                </c:pt>
                <c:pt idx="2">
                  <c:v>2.39</c:v>
                </c:pt>
              </c:numCache>
            </c:numRef>
          </c:val>
        </c:ser>
        <c:ser>
          <c:idx val="1"/>
          <c:order val="1"/>
          <c:tx>
            <c:strRef>
              <c:f>Sheet1!$C$1</c:f>
              <c:strCache>
                <c:ptCount val="1"/>
                <c:pt idx="0">
                  <c:v>公务用车购置及运行维护费支出</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Sheet1!$C$2:$C$5</c:f>
              <c:numCache>
                <c:formatCode>General</c:formatCode>
                <c:ptCount val="4"/>
              </c:numCache>
            </c:numRef>
          </c:val>
        </c:ser>
        <c:ser>
          <c:idx val="2"/>
          <c:order val="2"/>
          <c:tx>
            <c:strRef>
              <c:f>Sheet1!$D$1</c:f>
              <c:strCache>
                <c:ptCount val="1"/>
                <c:pt idx="0">
                  <c:v>公务接待费支出</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Sheet1!$D$2:$D$5</c:f>
              <c:numCache>
                <c:formatCode>General</c:formatCode>
                <c:ptCount val="4"/>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blipFill rotWithShape="1">
      <a:blip xmlns:r="http://schemas.openxmlformats.org/officeDocument/2006/relationships" r:embed="rId2"/>
      <a:stretch>
        <a:fillRect/>
      </a:stretch>
    </a:blipFill>
    <a:ln w="9525" cap="flat" cmpd="sng" algn="ctr">
      <a:no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11643</Words>
  <Characters>12435</Characters>
  <Lines>9</Lines>
  <Paragraphs>24</Paragraphs>
  <TotalTime>25</TotalTime>
  <ScaleCrop>false</ScaleCrop>
  <LinksUpToDate>false</LinksUpToDate>
  <CharactersWithSpaces>12601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Administrator</cp:lastModifiedBy>
  <cp:lastPrinted>2024-09-18T10:22:00Z</cp:lastPrinted>
  <dcterms:modified xsi:type="dcterms:W3CDTF">2024-09-23T01:18:16Z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FC8695D0660E43668D759A04A9D6B525_12</vt:lpwstr>
  </property>
</Properties>
</file>