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rPr>
          <w:rFonts w:ascii="方正小标宋简体" w:hAnsi="方正小标宋简体" w:eastAsia="方正小标宋简体" w:cs="方正小标宋简体"/>
          <w:sz w:val="72"/>
          <w:szCs w:val="72"/>
        </w:rPr>
      </w:pPr>
      <w:bookmarkStart w:id="1" w:name="_Toc15396597"/>
      <w:bookmarkStart w:id="2" w:name="_Toc15377193"/>
      <w:bookmarkStart w:id="3" w:name="_Toc15396475"/>
      <w:bookmarkStart w:id="4" w:name="_Toc15378441"/>
      <w:bookmarkStart w:id="5" w:name="_Toc15377425"/>
      <w:bookmarkStart w:id="6" w:name="_Toc13293"/>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bookmarkEnd w:id="6"/>
    </w:p>
    <w:p>
      <w:pPr>
        <w:adjustRightInd w:val="0"/>
        <w:snapToGrid w:val="0"/>
        <w:spacing w:line="360" w:lineRule="auto"/>
        <w:jc w:val="center"/>
        <w:rPr>
          <w:rFonts w:ascii="方正小标宋简体" w:hAnsi="方正小标宋简体" w:eastAsia="方正小标宋简体" w:cs="方正小标宋简体"/>
          <w:sz w:val="72"/>
          <w:szCs w:val="72"/>
        </w:rPr>
      </w:pPr>
      <w:bookmarkStart w:id="7" w:name="_Toc7220"/>
      <w:bookmarkStart w:id="8" w:name="_Toc15378442"/>
      <w:bookmarkStart w:id="9" w:name="_Toc15377426"/>
      <w:bookmarkStart w:id="10" w:name="_Toc15396476"/>
      <w:bookmarkStart w:id="11" w:name="_Toc15396598"/>
      <w:bookmarkStart w:id="12" w:name="_Toc15377194"/>
      <w:r>
        <w:rPr>
          <w:rFonts w:hint="eastAsia" w:ascii="方正小标宋简体" w:hAnsi="方正小标宋简体" w:eastAsia="方正小标宋简体" w:cs="方正小标宋简体"/>
          <w:sz w:val="72"/>
          <w:szCs w:val="72"/>
        </w:rPr>
        <w:t>攀枝花市</w:t>
      </w:r>
      <w:bookmarkEnd w:id="0"/>
      <w:bookmarkStart w:id="13" w:name="_Toc15306268"/>
      <w:r>
        <w:rPr>
          <w:rFonts w:hint="eastAsia" w:ascii="方正小标宋简体" w:hAnsi="方正小标宋简体" w:eastAsia="方正小标宋简体" w:cs="方正小标宋简体"/>
          <w:sz w:val="72"/>
          <w:szCs w:val="72"/>
        </w:rPr>
        <w:t>纪检监察</w:t>
      </w:r>
      <w:bookmarkEnd w:id="7"/>
    </w:p>
    <w:p>
      <w:pPr>
        <w:adjustRightInd w:val="0"/>
        <w:snapToGrid w:val="0"/>
        <w:spacing w:line="360" w:lineRule="auto"/>
        <w:jc w:val="center"/>
        <w:rPr>
          <w:rFonts w:ascii="方正小标宋简体" w:hAnsi="方正小标宋简体" w:eastAsia="方正小标宋简体" w:cs="方正小标宋简体"/>
          <w:sz w:val="72"/>
          <w:szCs w:val="72"/>
        </w:rPr>
      </w:pPr>
      <w:bookmarkStart w:id="14" w:name="_Toc12648"/>
      <w:r>
        <w:rPr>
          <w:rFonts w:hint="eastAsia" w:ascii="方正小标宋简体" w:hAnsi="方正小标宋简体" w:eastAsia="方正小标宋简体" w:cs="方正小标宋简体"/>
          <w:sz w:val="72"/>
          <w:szCs w:val="72"/>
        </w:rPr>
        <w:t>教育培训与信息中心</w:t>
      </w:r>
      <w:bookmarkEnd w:id="14"/>
    </w:p>
    <w:p>
      <w:pPr>
        <w:adjustRightInd w:val="0"/>
        <w:snapToGrid w:val="0"/>
        <w:spacing w:line="360" w:lineRule="auto"/>
        <w:jc w:val="center"/>
        <w:rPr>
          <w:rFonts w:ascii="方正小标宋简体" w:hAnsi="方正小标宋简体" w:eastAsia="方正小标宋简体" w:cs="方正小标宋简体"/>
          <w:sz w:val="72"/>
          <w:szCs w:val="72"/>
        </w:rPr>
      </w:pPr>
      <w:bookmarkStart w:id="15" w:name="_Toc30241"/>
      <w:r>
        <w:rPr>
          <w:rFonts w:hint="eastAsia" w:ascii="方正小标宋简体" w:hAnsi="方正小标宋简体" w:eastAsia="方正小标宋简体" w:cs="方正小标宋简体"/>
          <w:sz w:val="72"/>
          <w:szCs w:val="72"/>
        </w:rPr>
        <w:t>单位决算</w:t>
      </w:r>
      <w:bookmarkEnd w:id="8"/>
      <w:bookmarkEnd w:id="9"/>
      <w:bookmarkEnd w:id="10"/>
      <w:bookmarkEnd w:id="11"/>
      <w:bookmarkEnd w:id="12"/>
      <w:bookmarkEnd w:id="13"/>
      <w:bookmarkEnd w:id="15"/>
    </w:p>
    <w:p>
      <w:pPr>
        <w:widowControl/>
        <w:jc w:val="center"/>
        <w:rPr>
          <w:rFonts w:ascii="黑体" w:hAnsi="黑体" w:eastAsia="黑体" w:cstheme="minorBidi"/>
          <w:sz w:val="28"/>
          <w:szCs w:val="28"/>
        </w:rPr>
      </w:pPr>
      <w:r>
        <w:rPr>
          <w:rFonts w:ascii="方正小标宋简体" w:hAnsi="宋体" w:eastAsia="方正小标宋简体"/>
          <w:sz w:val="36"/>
          <w:szCs w:val="36"/>
        </w:rPr>
        <w:br w:type="page"/>
      </w:r>
      <w:r>
        <w:rPr>
          <w:rFonts w:hint="eastAsia" w:ascii="黑体" w:hAnsi="黑体" w:eastAsia="黑体"/>
          <w:sz w:val="48"/>
          <w:szCs w:val="48"/>
        </w:rPr>
        <w:t>目录</w:t>
      </w:r>
    </w:p>
    <w:p>
      <w:pPr>
        <w:pStyle w:val="13"/>
        <w:rPr>
          <w:rFonts w:hint="default" w:ascii="Times New Roman" w:hAnsi="Times New Roman" w:eastAsia="方正仿宋_GBK" w:cs="Times New Roman"/>
          <w:color w:val="000000" w:themeColor="text1"/>
          <w:sz w:val="33"/>
          <w:szCs w:val="33"/>
        </w:rPr>
      </w:pPr>
      <w:r>
        <w:rPr>
          <w:rFonts w:hint="default" w:ascii="Times New Roman" w:hAnsi="Times New Roman" w:eastAsia="方正仿宋_GBK" w:cs="Times New Roman"/>
          <w:color w:val="000000" w:themeColor="text1"/>
          <w:sz w:val="33"/>
          <w:szCs w:val="33"/>
        </w:rPr>
        <w:t>公开时间：2023年9月1</w:t>
      </w:r>
      <w:r>
        <w:rPr>
          <w:rFonts w:hint="eastAsia" w:ascii="Times New Roman" w:hAnsi="Times New Roman" w:eastAsia="方正仿宋_GBK" w:cs="Times New Roman"/>
          <w:color w:val="000000" w:themeColor="text1"/>
          <w:sz w:val="33"/>
          <w:szCs w:val="33"/>
          <w:lang w:val="en-US" w:eastAsia="zh-CN"/>
        </w:rPr>
        <w:t>5</w:t>
      </w:r>
      <w:r>
        <w:rPr>
          <w:rFonts w:hint="default" w:ascii="Times New Roman" w:hAnsi="Times New Roman" w:eastAsia="方正仿宋_GBK" w:cs="Times New Roman"/>
          <w:color w:val="000000" w:themeColor="text1"/>
          <w:sz w:val="33"/>
          <w:szCs w:val="33"/>
        </w:rPr>
        <w:t>日</w:t>
      </w:r>
    </w:p>
    <w:p>
      <w:pPr>
        <w:pStyle w:val="13"/>
        <w:rPr>
          <w:rFonts w:ascii="Times New Roman" w:hAnsi="Times New Roman"/>
          <w:sz w:val="33"/>
          <w:szCs w:val="33"/>
        </w:rPr>
      </w:pPr>
      <w:r>
        <w:rPr>
          <w:rFonts w:ascii="Times New Roman" w:hAnsi="Times New Roman"/>
          <w:sz w:val="33"/>
          <w:szCs w:val="33"/>
        </w:rPr>
        <w:fldChar w:fldCharType="begin"/>
      </w:r>
      <w:r>
        <w:rPr>
          <w:rFonts w:ascii="Times New Roman" w:hAnsi="Times New Roman"/>
          <w:sz w:val="33"/>
          <w:szCs w:val="33"/>
        </w:rPr>
        <w:instrText xml:space="preserve">TOC \o "1-3" \h \u </w:instrText>
      </w:r>
      <w:r>
        <w:rPr>
          <w:rFonts w:ascii="Times New Roman" w:hAnsi="Times New Roman"/>
          <w:sz w:val="33"/>
          <w:szCs w:val="33"/>
        </w:rPr>
        <w:fldChar w:fldCharType="separate"/>
      </w:r>
    </w:p>
    <w:p>
      <w:pPr>
        <w:pStyle w:val="13"/>
        <w:tabs>
          <w:tab w:val="right" w:leader="dot" w:pos="8306"/>
          <w:tab w:val="clear" w:pos="8296"/>
        </w:tabs>
        <w:spacing w:line="576" w:lineRule="exact"/>
        <w:rPr>
          <w:rFonts w:ascii="Times New Roman" w:hAnsi="Times New Roman"/>
          <w:sz w:val="33"/>
          <w:szCs w:val="33"/>
        </w:rPr>
      </w:pPr>
      <w:r>
        <w:fldChar w:fldCharType="begin"/>
      </w:r>
      <w:r>
        <w:instrText xml:space="preserve"> HYPERLINK \l "_Toc4007" </w:instrText>
      </w:r>
      <w:r>
        <w:fldChar w:fldCharType="separate"/>
      </w:r>
      <w:r>
        <w:rPr>
          <w:rFonts w:ascii="Times New Roman" w:hAnsi="Times New Roman" w:eastAsia="黑体"/>
          <w:sz w:val="33"/>
          <w:szCs w:val="33"/>
        </w:rPr>
        <w:t>第一部分 单位概况</w:t>
      </w:r>
      <w:r>
        <w:rPr>
          <w:rFonts w:ascii="Times New Roman" w:hAnsi="Times New Roman"/>
          <w:sz w:val="33"/>
          <w:szCs w:val="33"/>
        </w:rPr>
        <w:tab/>
      </w:r>
      <w:r>
        <w:rPr>
          <w:rFonts w:ascii="Times New Roman" w:hAnsi="Times New Roman"/>
          <w:sz w:val="33"/>
          <w:szCs w:val="33"/>
        </w:rPr>
        <w:fldChar w:fldCharType="begin"/>
      </w:r>
      <w:r>
        <w:rPr>
          <w:rFonts w:ascii="Times New Roman" w:hAnsi="Times New Roman"/>
          <w:sz w:val="33"/>
          <w:szCs w:val="33"/>
        </w:rPr>
        <w:instrText xml:space="preserve"> PAGEREF _Toc4007 \h </w:instrText>
      </w:r>
      <w:r>
        <w:rPr>
          <w:rFonts w:ascii="Times New Roman" w:hAnsi="Times New Roman"/>
          <w:sz w:val="33"/>
          <w:szCs w:val="33"/>
        </w:rPr>
        <w:fldChar w:fldCharType="separate"/>
      </w:r>
      <w:r>
        <w:rPr>
          <w:rFonts w:ascii="Times New Roman" w:hAnsi="Times New Roman"/>
          <w:sz w:val="33"/>
          <w:szCs w:val="33"/>
        </w:rPr>
        <w:t>4</w:t>
      </w:r>
      <w:r>
        <w:rPr>
          <w:rFonts w:ascii="Times New Roman" w:hAnsi="Times New Roman"/>
          <w:sz w:val="33"/>
          <w:szCs w:val="33"/>
        </w:rPr>
        <w:fldChar w:fldCharType="end"/>
      </w:r>
      <w:r>
        <w:rPr>
          <w:rFonts w:ascii="Times New Roman" w:hAnsi="Times New Roman"/>
          <w:sz w:val="33"/>
          <w:szCs w:val="33"/>
        </w:rPr>
        <w:fldChar w:fldCharType="end"/>
      </w:r>
    </w:p>
    <w:p>
      <w:pPr>
        <w:pStyle w:val="15"/>
        <w:tabs>
          <w:tab w:val="right" w:leader="dot" w:pos="8306"/>
          <w:tab w:val="clear" w:pos="8296"/>
        </w:tabs>
        <w:spacing w:line="576" w:lineRule="exac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"_Toc28148"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一、 主要职责</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_Toc28148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4</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5"/>
        <w:tabs>
          <w:tab w:val="right" w:leader="dot" w:pos="8306"/>
          <w:tab w:val="clear" w:pos="8296"/>
        </w:tabs>
        <w:spacing w:line="576" w:lineRule="exac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"_Toc27804"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二、 机构设置</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_Toc27804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4</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3"/>
        <w:tabs>
          <w:tab w:val="right" w:leader="dot" w:pos="8306"/>
          <w:tab w:val="clear" w:pos="8296"/>
        </w:tabs>
        <w:spacing w:line="576" w:lineRule="exact"/>
        <w:rPr>
          <w:rFonts w:ascii="Times New Roman" w:hAnsi="Times New Roman"/>
          <w:sz w:val="33"/>
          <w:szCs w:val="33"/>
        </w:rPr>
      </w:pPr>
      <w:r>
        <w:fldChar w:fldCharType="begin"/>
      </w:r>
      <w:r>
        <w:instrText xml:space="preserve"> HYPERLINK \l "_Toc5482" </w:instrText>
      </w:r>
      <w:r>
        <w:fldChar w:fldCharType="separate"/>
      </w:r>
      <w:r>
        <w:rPr>
          <w:rFonts w:ascii="Times New Roman" w:hAnsi="Times New Roman" w:eastAsia="黑体"/>
          <w:sz w:val="33"/>
          <w:szCs w:val="33"/>
        </w:rPr>
        <w:t>第二部分 2022年度</w:t>
      </w:r>
      <w:r>
        <w:rPr>
          <w:rFonts w:ascii="Times New Roman" w:hAnsi="Times New Roman" w:eastAsia="黑体"/>
          <w:bCs/>
          <w:sz w:val="33"/>
          <w:szCs w:val="33"/>
        </w:rPr>
        <w:t>单位决算情况说明</w:t>
      </w:r>
      <w:r>
        <w:rPr>
          <w:rFonts w:ascii="Times New Roman" w:hAnsi="Times New Roman"/>
          <w:sz w:val="33"/>
          <w:szCs w:val="33"/>
        </w:rPr>
        <w:tab/>
      </w:r>
      <w:r>
        <w:rPr>
          <w:rFonts w:ascii="Times New Roman" w:hAnsi="Times New Roman"/>
          <w:sz w:val="33"/>
          <w:szCs w:val="33"/>
        </w:rPr>
        <w:fldChar w:fldCharType="begin"/>
      </w:r>
      <w:r>
        <w:rPr>
          <w:rFonts w:ascii="Times New Roman" w:hAnsi="Times New Roman"/>
          <w:sz w:val="33"/>
          <w:szCs w:val="33"/>
        </w:rPr>
        <w:instrText xml:space="preserve"> PAGEREF _Toc5482 \h </w:instrText>
      </w:r>
      <w:r>
        <w:rPr>
          <w:rFonts w:ascii="Times New Roman" w:hAnsi="Times New Roman"/>
          <w:sz w:val="33"/>
          <w:szCs w:val="33"/>
        </w:rPr>
        <w:fldChar w:fldCharType="separate"/>
      </w:r>
      <w:r>
        <w:rPr>
          <w:rFonts w:ascii="Times New Roman" w:hAnsi="Times New Roman"/>
          <w:sz w:val="33"/>
          <w:szCs w:val="33"/>
        </w:rPr>
        <w:t>5</w:t>
      </w:r>
      <w:r>
        <w:rPr>
          <w:rFonts w:ascii="Times New Roman" w:hAnsi="Times New Roman"/>
          <w:sz w:val="33"/>
          <w:szCs w:val="33"/>
        </w:rPr>
        <w:fldChar w:fldCharType="end"/>
      </w:r>
      <w:r>
        <w:rPr>
          <w:rFonts w:ascii="Times New Roman" w:hAnsi="Times New Roman"/>
          <w:sz w:val="33"/>
          <w:szCs w:val="33"/>
        </w:rPr>
        <w:fldChar w:fldCharType="end"/>
      </w:r>
    </w:p>
    <w:p>
      <w:pPr>
        <w:pStyle w:val="15"/>
        <w:tabs>
          <w:tab w:val="right" w:leader="dot" w:pos="8306"/>
          <w:tab w:val="clear" w:pos="8296"/>
        </w:tabs>
        <w:spacing w:line="576" w:lineRule="exac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"_Toc6234"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一、 收入支出决算总体情况说明</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_Toc6234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5</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5"/>
        <w:tabs>
          <w:tab w:val="right" w:leader="dot" w:pos="8306"/>
          <w:tab w:val="clear" w:pos="8296"/>
        </w:tabs>
        <w:spacing w:line="576" w:lineRule="exac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"_Toc5227"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二、 收入决算情况说明</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_Toc5227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5</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5"/>
        <w:tabs>
          <w:tab w:val="right" w:leader="dot" w:pos="8306"/>
          <w:tab w:val="clear" w:pos="8296"/>
        </w:tabs>
        <w:spacing w:line="576" w:lineRule="exac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"_Toc23238"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三、 支出决算情况说明</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_Toc23238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6</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5"/>
        <w:tabs>
          <w:tab w:val="right" w:leader="dot" w:pos="8306"/>
          <w:tab w:val="clear" w:pos="8296"/>
        </w:tabs>
        <w:spacing w:line="576" w:lineRule="exac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"_Toc15483"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四、财政拨款收入支出决算总体情况说明</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_Toc15483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6</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5"/>
        <w:tabs>
          <w:tab w:val="right" w:leader="dot" w:pos="8306"/>
          <w:tab w:val="clear" w:pos="8296"/>
        </w:tabs>
        <w:spacing w:line="576" w:lineRule="exac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"_Toc3006"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五、一般公共预算财政拨款支出决算情况说明</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_Toc3006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7</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5"/>
        <w:tabs>
          <w:tab w:val="right" w:leader="dot" w:pos="8306"/>
          <w:tab w:val="clear" w:pos="8296"/>
        </w:tabs>
        <w:spacing w:line="576" w:lineRule="exac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"_Toc19855"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六、一般公共预算财政拨款基本支出决算情况说明</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_Toc19855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9</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5"/>
        <w:tabs>
          <w:tab w:val="right" w:leader="dot" w:pos="8306"/>
          <w:tab w:val="clear" w:pos="8296"/>
        </w:tabs>
        <w:spacing w:line="576" w:lineRule="exac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"_Toc32532"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七、财政拨款“三公”经费支出决算情况说明</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_Toc32532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10</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5"/>
        <w:tabs>
          <w:tab w:val="right" w:leader="dot" w:pos="8306"/>
          <w:tab w:val="clear" w:pos="8296"/>
        </w:tabs>
        <w:spacing w:line="576" w:lineRule="exac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"_Toc1600"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八、政府性基金预算支出决算情况说明</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_Toc1600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12</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5"/>
        <w:tabs>
          <w:tab w:val="right" w:leader="dot" w:pos="8306"/>
          <w:tab w:val="clear" w:pos="8296"/>
        </w:tabs>
        <w:spacing w:line="576" w:lineRule="exac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"_Toc9287"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九、 国有资本经营预算支出决算情况说明</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_Toc9287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12</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5"/>
        <w:tabs>
          <w:tab w:val="right" w:leader="dot" w:pos="8306"/>
          <w:tab w:val="clear" w:pos="8296"/>
        </w:tabs>
        <w:spacing w:line="576" w:lineRule="exac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"_Toc32185"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十、 其他重要事项的情况说明</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_Toc32185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12</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3"/>
        <w:tabs>
          <w:tab w:val="right" w:leader="dot" w:pos="8306"/>
          <w:tab w:val="clear" w:pos="8296"/>
        </w:tabs>
        <w:spacing w:line="576" w:lineRule="exact"/>
        <w:rPr>
          <w:rFonts w:hint="eastAsia" w:ascii="黑体" w:hAnsi="黑体" w:eastAsia="黑体" w:cs="黑体"/>
          <w:sz w:val="33"/>
          <w:szCs w:val="33"/>
        </w:rPr>
      </w:pPr>
      <w:r>
        <w:rPr>
          <w:rFonts w:hint="eastAsia" w:ascii="黑体" w:hAnsi="黑体" w:eastAsia="黑体" w:cs="黑体"/>
          <w:sz w:val="33"/>
          <w:szCs w:val="33"/>
        </w:rPr>
        <w:fldChar w:fldCharType="begin"/>
      </w:r>
      <w:r>
        <w:rPr>
          <w:rFonts w:hint="eastAsia" w:ascii="黑体" w:hAnsi="黑体" w:eastAsia="黑体" w:cs="黑体"/>
          <w:sz w:val="33"/>
          <w:szCs w:val="33"/>
        </w:rPr>
        <w:instrText xml:space="preserve"> HYPERLINK \l "_Toc21365" </w:instrText>
      </w:r>
      <w:r>
        <w:rPr>
          <w:rFonts w:hint="eastAsia" w:ascii="黑体" w:hAnsi="黑体" w:eastAsia="黑体" w:cs="黑体"/>
          <w:sz w:val="33"/>
          <w:szCs w:val="33"/>
        </w:rPr>
        <w:fldChar w:fldCharType="separate"/>
      </w:r>
      <w:r>
        <w:rPr>
          <w:rFonts w:hint="eastAsia" w:ascii="黑体" w:hAnsi="黑体" w:eastAsia="黑体" w:cs="黑体"/>
          <w:sz w:val="33"/>
          <w:szCs w:val="33"/>
        </w:rPr>
        <w:t>第三部分 名词解释</w:t>
      </w:r>
      <w:r>
        <w:rPr>
          <w:rFonts w:hint="eastAsia" w:ascii="黑体" w:hAnsi="黑体" w:eastAsia="黑体" w:cs="黑体"/>
          <w:sz w:val="33"/>
          <w:szCs w:val="33"/>
        </w:rPr>
        <w:tab/>
      </w:r>
      <w:r>
        <w:rPr>
          <w:rFonts w:hint="eastAsia" w:ascii="黑体" w:hAnsi="黑体" w:eastAsia="黑体" w:cs="黑体"/>
          <w:sz w:val="33"/>
          <w:szCs w:val="33"/>
        </w:rPr>
        <w:fldChar w:fldCharType="begin"/>
      </w:r>
      <w:r>
        <w:rPr>
          <w:rFonts w:hint="eastAsia" w:ascii="黑体" w:hAnsi="黑体" w:eastAsia="黑体" w:cs="黑体"/>
          <w:sz w:val="33"/>
          <w:szCs w:val="33"/>
        </w:rPr>
        <w:instrText xml:space="preserve"> PAGEREF _Toc21365 \h </w:instrText>
      </w:r>
      <w:r>
        <w:rPr>
          <w:rFonts w:hint="eastAsia" w:ascii="黑体" w:hAnsi="黑体" w:eastAsia="黑体" w:cs="黑体"/>
          <w:sz w:val="33"/>
          <w:szCs w:val="33"/>
        </w:rPr>
        <w:fldChar w:fldCharType="separate"/>
      </w:r>
      <w:r>
        <w:rPr>
          <w:rFonts w:hint="eastAsia" w:ascii="黑体" w:hAnsi="黑体" w:eastAsia="黑体" w:cs="黑体"/>
          <w:sz w:val="33"/>
          <w:szCs w:val="33"/>
        </w:rPr>
        <w:t>14</w:t>
      </w:r>
      <w:r>
        <w:rPr>
          <w:rFonts w:hint="eastAsia" w:ascii="黑体" w:hAnsi="黑体" w:eastAsia="黑体" w:cs="黑体"/>
          <w:sz w:val="33"/>
          <w:szCs w:val="33"/>
        </w:rPr>
        <w:fldChar w:fldCharType="end"/>
      </w:r>
      <w:r>
        <w:rPr>
          <w:rFonts w:hint="eastAsia" w:ascii="黑体" w:hAnsi="黑体" w:eastAsia="黑体" w:cs="黑体"/>
          <w:sz w:val="33"/>
          <w:szCs w:val="33"/>
        </w:rPr>
        <w:fldChar w:fldCharType="end"/>
      </w:r>
    </w:p>
    <w:p>
      <w:pPr>
        <w:pStyle w:val="13"/>
        <w:tabs>
          <w:tab w:val="right" w:leader="dot" w:pos="8306"/>
          <w:tab w:val="clear" w:pos="8296"/>
        </w:tabs>
        <w:spacing w:line="576" w:lineRule="exact"/>
        <w:rPr>
          <w:rFonts w:hint="eastAsia" w:ascii="黑体" w:hAnsi="黑体" w:eastAsia="黑体" w:cs="黑体"/>
          <w:sz w:val="33"/>
          <w:szCs w:val="33"/>
        </w:rPr>
      </w:pPr>
      <w:r>
        <w:rPr>
          <w:rFonts w:hint="eastAsia" w:ascii="黑体" w:hAnsi="黑体" w:eastAsia="黑体" w:cs="黑体"/>
          <w:sz w:val="33"/>
          <w:szCs w:val="33"/>
        </w:rPr>
        <w:fldChar w:fldCharType="begin"/>
      </w:r>
      <w:r>
        <w:rPr>
          <w:rFonts w:hint="eastAsia" w:ascii="黑体" w:hAnsi="黑体" w:eastAsia="黑体" w:cs="黑体"/>
          <w:sz w:val="33"/>
          <w:szCs w:val="33"/>
        </w:rPr>
        <w:instrText xml:space="preserve"> HYPERLINK \l "_Toc73" </w:instrText>
      </w:r>
      <w:r>
        <w:rPr>
          <w:rFonts w:hint="eastAsia" w:ascii="黑体" w:hAnsi="黑体" w:eastAsia="黑体" w:cs="黑体"/>
          <w:sz w:val="33"/>
          <w:szCs w:val="33"/>
        </w:rPr>
        <w:fldChar w:fldCharType="separate"/>
      </w:r>
      <w:r>
        <w:rPr>
          <w:rFonts w:hint="eastAsia" w:ascii="黑体" w:hAnsi="黑体" w:eastAsia="黑体" w:cs="黑体"/>
          <w:sz w:val="33"/>
          <w:szCs w:val="33"/>
        </w:rPr>
        <w:t>第四部分 附件</w:t>
      </w:r>
      <w:r>
        <w:rPr>
          <w:rFonts w:hint="eastAsia" w:ascii="黑体" w:hAnsi="黑体" w:eastAsia="黑体" w:cs="黑体"/>
          <w:sz w:val="33"/>
          <w:szCs w:val="33"/>
        </w:rPr>
        <w:tab/>
      </w:r>
      <w:r>
        <w:rPr>
          <w:rFonts w:hint="eastAsia" w:ascii="黑体" w:hAnsi="黑体" w:eastAsia="黑体" w:cs="黑体"/>
          <w:sz w:val="33"/>
          <w:szCs w:val="33"/>
        </w:rPr>
        <w:fldChar w:fldCharType="begin"/>
      </w:r>
      <w:r>
        <w:rPr>
          <w:rFonts w:hint="eastAsia" w:ascii="黑体" w:hAnsi="黑体" w:eastAsia="黑体" w:cs="黑体"/>
          <w:sz w:val="33"/>
          <w:szCs w:val="33"/>
        </w:rPr>
        <w:instrText xml:space="preserve"> PAGEREF _Toc73 \h </w:instrText>
      </w:r>
      <w:r>
        <w:rPr>
          <w:rFonts w:hint="eastAsia" w:ascii="黑体" w:hAnsi="黑体" w:eastAsia="黑体" w:cs="黑体"/>
          <w:sz w:val="33"/>
          <w:szCs w:val="33"/>
        </w:rPr>
        <w:fldChar w:fldCharType="separate"/>
      </w:r>
      <w:r>
        <w:rPr>
          <w:rFonts w:hint="eastAsia" w:ascii="黑体" w:hAnsi="黑体" w:eastAsia="黑体" w:cs="黑体"/>
          <w:sz w:val="33"/>
          <w:szCs w:val="33"/>
        </w:rPr>
        <w:t>17</w:t>
      </w:r>
      <w:r>
        <w:rPr>
          <w:rFonts w:hint="eastAsia" w:ascii="黑体" w:hAnsi="黑体" w:eastAsia="黑体" w:cs="黑体"/>
          <w:sz w:val="33"/>
          <w:szCs w:val="33"/>
        </w:rPr>
        <w:fldChar w:fldCharType="end"/>
      </w:r>
      <w:r>
        <w:rPr>
          <w:rFonts w:hint="eastAsia" w:ascii="黑体" w:hAnsi="黑体" w:eastAsia="黑体" w:cs="黑体"/>
          <w:sz w:val="33"/>
          <w:szCs w:val="33"/>
        </w:rPr>
        <w:fldChar w:fldCharType="end"/>
      </w:r>
    </w:p>
    <w:p>
      <w:pPr>
        <w:pStyle w:val="13"/>
        <w:tabs>
          <w:tab w:val="right" w:leader="dot" w:pos="8306"/>
          <w:tab w:val="clear" w:pos="8296"/>
        </w:tabs>
        <w:spacing w:line="576" w:lineRule="exact"/>
        <w:rPr>
          <w:rFonts w:hint="default" w:ascii="Times New Roman" w:hAnsi="Times New Roman" w:eastAsia="方正仿宋_GBK" w:cs="Times New Roman"/>
          <w:sz w:val="33"/>
          <w:szCs w:val="33"/>
        </w:rPr>
      </w:pPr>
      <w:r>
        <w:rPr>
          <w:rFonts w:hint="eastAsia" w:ascii="黑体" w:hAnsi="黑体" w:eastAsia="黑体" w:cs="黑体"/>
          <w:sz w:val="33"/>
          <w:szCs w:val="33"/>
        </w:rPr>
        <w:fldChar w:fldCharType="begin"/>
      </w:r>
      <w:r>
        <w:rPr>
          <w:rFonts w:hint="eastAsia" w:ascii="黑体" w:hAnsi="黑体" w:eastAsia="黑体" w:cs="黑体"/>
          <w:sz w:val="33"/>
          <w:szCs w:val="33"/>
        </w:rPr>
        <w:instrText xml:space="preserve"> HYPERLINK \l "_Toc11235" </w:instrText>
      </w:r>
      <w:r>
        <w:rPr>
          <w:rFonts w:hint="eastAsia" w:ascii="黑体" w:hAnsi="黑体" w:eastAsia="黑体" w:cs="黑体"/>
          <w:sz w:val="33"/>
          <w:szCs w:val="33"/>
        </w:rPr>
        <w:fldChar w:fldCharType="separate"/>
      </w:r>
      <w:r>
        <w:rPr>
          <w:rFonts w:hint="eastAsia" w:ascii="黑体" w:hAnsi="黑体" w:eastAsia="黑体" w:cs="黑体"/>
          <w:sz w:val="33"/>
          <w:szCs w:val="33"/>
        </w:rPr>
        <w:t>第五部分 附表</w:t>
      </w:r>
      <w:r>
        <w:rPr>
          <w:rFonts w:hint="eastAsia" w:ascii="黑体" w:hAnsi="黑体" w:eastAsia="黑体" w:cs="黑体"/>
          <w:sz w:val="33"/>
          <w:szCs w:val="33"/>
        </w:rPr>
        <w:tab/>
      </w:r>
      <w:r>
        <w:rPr>
          <w:rFonts w:hint="eastAsia" w:ascii="黑体" w:hAnsi="黑体" w:eastAsia="黑体" w:cs="黑体"/>
          <w:sz w:val="33"/>
          <w:szCs w:val="33"/>
        </w:rPr>
        <w:fldChar w:fldCharType="begin"/>
      </w:r>
      <w:r>
        <w:rPr>
          <w:rFonts w:hint="eastAsia" w:ascii="黑体" w:hAnsi="黑体" w:eastAsia="黑体" w:cs="黑体"/>
          <w:sz w:val="33"/>
          <w:szCs w:val="33"/>
        </w:rPr>
        <w:instrText xml:space="preserve"> PAGEREF _Toc11235 \h </w:instrText>
      </w:r>
      <w:r>
        <w:rPr>
          <w:rFonts w:hint="eastAsia" w:ascii="黑体" w:hAnsi="黑体" w:eastAsia="黑体" w:cs="黑体"/>
          <w:sz w:val="33"/>
          <w:szCs w:val="33"/>
        </w:rPr>
        <w:fldChar w:fldCharType="separate"/>
      </w:r>
      <w:r>
        <w:rPr>
          <w:rFonts w:hint="eastAsia" w:ascii="黑体" w:hAnsi="黑体" w:eastAsia="黑体" w:cs="黑体"/>
          <w:sz w:val="33"/>
          <w:szCs w:val="33"/>
        </w:rPr>
        <w:t>18</w:t>
      </w:r>
      <w:r>
        <w:rPr>
          <w:rFonts w:hint="eastAsia" w:ascii="黑体" w:hAnsi="黑体" w:eastAsia="黑体" w:cs="黑体"/>
          <w:sz w:val="33"/>
          <w:szCs w:val="33"/>
        </w:rPr>
        <w:fldChar w:fldCharType="end"/>
      </w:r>
      <w:r>
        <w:rPr>
          <w:rFonts w:hint="eastAsia" w:ascii="黑体" w:hAnsi="黑体" w:eastAsia="黑体" w:cs="黑体"/>
          <w:sz w:val="33"/>
          <w:szCs w:val="33"/>
        </w:rPr>
        <w:fldChar w:fldCharType="end"/>
      </w:r>
    </w:p>
    <w:p>
      <w:pPr>
        <w:pStyle w:val="15"/>
        <w:tabs>
          <w:tab w:val="right" w:leader="dot" w:pos="8306"/>
          <w:tab w:val="clear" w:pos="8296"/>
        </w:tabs>
        <w:spacing w:line="576" w:lineRule="exac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"_Toc17986"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一、收入支出决算总表</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_Toc17986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18</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5"/>
        <w:tabs>
          <w:tab w:val="right" w:leader="dot" w:pos="8306"/>
          <w:tab w:val="clear" w:pos="8296"/>
        </w:tabs>
        <w:spacing w:line="576" w:lineRule="exac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"_Toc17740"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二、收入决算表</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_Toc17740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18</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5"/>
        <w:tabs>
          <w:tab w:val="right" w:leader="dot" w:pos="8306"/>
          <w:tab w:val="clear" w:pos="8296"/>
        </w:tabs>
        <w:spacing w:line="576" w:lineRule="exac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"_Toc11433"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三、支出决算表</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_Toc11433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18</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5"/>
        <w:tabs>
          <w:tab w:val="right" w:leader="dot" w:pos="8306"/>
          <w:tab w:val="clear" w:pos="8296"/>
        </w:tabs>
        <w:spacing w:line="576" w:lineRule="exac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"_Toc7248"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四、财政拨款收入支出决算总表</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_Toc7248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18</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5"/>
        <w:tabs>
          <w:tab w:val="right" w:leader="dot" w:pos="8306"/>
          <w:tab w:val="clear" w:pos="8296"/>
        </w:tabs>
        <w:spacing w:line="576" w:lineRule="exac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"_Toc8847"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五、财政拨款支出决算明细表</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_Toc8847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18</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5"/>
        <w:tabs>
          <w:tab w:val="right" w:leader="dot" w:pos="8306"/>
          <w:tab w:val="clear" w:pos="8296"/>
        </w:tabs>
        <w:spacing w:line="576" w:lineRule="exac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"_Toc31977"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六、一般公共预算财政拨款支出决算表</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_Toc31977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18</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5"/>
        <w:tabs>
          <w:tab w:val="right" w:leader="dot" w:pos="8306"/>
          <w:tab w:val="clear" w:pos="8296"/>
        </w:tabs>
        <w:spacing w:line="576" w:lineRule="exac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"_Toc8329"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七、一般公共预算财政拨款支出决算明细表</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_Toc8329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18</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5"/>
        <w:tabs>
          <w:tab w:val="right" w:leader="dot" w:pos="8306"/>
          <w:tab w:val="clear" w:pos="8296"/>
        </w:tabs>
        <w:spacing w:line="576" w:lineRule="exac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"_Toc28622"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八、一般公共预算财政拨款基本支出决算表</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_Toc28622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18</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5"/>
        <w:tabs>
          <w:tab w:val="right" w:leader="dot" w:pos="8306"/>
          <w:tab w:val="clear" w:pos="8296"/>
        </w:tabs>
        <w:spacing w:line="576" w:lineRule="exac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"_Toc7429"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九、一般公共预算财政拨款项目支出决算表</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_Toc7429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18</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5"/>
        <w:tabs>
          <w:tab w:val="right" w:leader="dot" w:pos="8306"/>
          <w:tab w:val="clear" w:pos="8296"/>
        </w:tabs>
        <w:spacing w:line="576" w:lineRule="exac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"_Toc10241"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十、政府性基金预算财政拨款收入支出决算表</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_Toc10241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18</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5"/>
        <w:tabs>
          <w:tab w:val="right" w:leader="dot" w:pos="8306"/>
          <w:tab w:val="clear" w:pos="8296"/>
        </w:tabs>
        <w:spacing w:line="576" w:lineRule="exac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"_Toc25627"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十一、国有资本经营预算财政拨款收入支出决算表</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_Toc25627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18</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5"/>
        <w:tabs>
          <w:tab w:val="right" w:leader="dot" w:pos="8306"/>
          <w:tab w:val="clear" w:pos="8296"/>
        </w:tabs>
        <w:spacing w:line="576" w:lineRule="exac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"_Toc6608"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十二、国有资本经营预算财政拨款支出决算表</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_Toc6608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18</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pStyle w:val="15"/>
        <w:tabs>
          <w:tab w:val="right" w:leader="dot" w:pos="8306"/>
          <w:tab w:val="clear" w:pos="8296"/>
        </w:tabs>
        <w:spacing w:line="576" w:lineRule="exac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HYPERLINK \l "_Toc30485"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十三、财政拨款“三公”经费支出决算表</w:t>
      </w:r>
      <w:r>
        <w:rPr>
          <w:rFonts w:hint="default" w:ascii="Times New Roman" w:hAnsi="Times New Roman" w:eastAsia="方正仿宋_GBK" w:cs="Times New Roman"/>
          <w:sz w:val="33"/>
          <w:szCs w:val="33"/>
        </w:rPr>
        <w:tab/>
      </w:r>
      <w:r>
        <w:rPr>
          <w:rFonts w:hint="default" w:ascii="Times New Roman" w:hAnsi="Times New Roman" w:eastAsia="方正仿宋_GBK" w:cs="Times New Roman"/>
          <w:sz w:val="33"/>
          <w:szCs w:val="33"/>
        </w:rPr>
        <w:fldChar w:fldCharType="begin"/>
      </w:r>
      <w:r>
        <w:rPr>
          <w:rFonts w:hint="default" w:ascii="Times New Roman" w:hAnsi="Times New Roman" w:eastAsia="方正仿宋_GBK" w:cs="Times New Roman"/>
          <w:sz w:val="33"/>
          <w:szCs w:val="33"/>
        </w:rPr>
        <w:instrText xml:space="preserve"> PAGEREF _Toc30485 \h </w:instrText>
      </w:r>
      <w:r>
        <w:rPr>
          <w:rFonts w:hint="default" w:ascii="Times New Roman" w:hAnsi="Times New Roman" w:eastAsia="方正仿宋_GBK" w:cs="Times New Roman"/>
          <w:sz w:val="33"/>
          <w:szCs w:val="33"/>
        </w:rPr>
        <w:fldChar w:fldCharType="separate"/>
      </w:r>
      <w:r>
        <w:rPr>
          <w:rFonts w:hint="default" w:ascii="Times New Roman" w:hAnsi="Times New Roman" w:eastAsia="方正仿宋_GBK" w:cs="Times New Roman"/>
          <w:sz w:val="33"/>
          <w:szCs w:val="33"/>
        </w:rPr>
        <w:t>18</w:t>
      </w:r>
      <w:r>
        <w:rPr>
          <w:rFonts w:hint="default" w:ascii="Times New Roman" w:hAnsi="Times New Roman" w:eastAsia="方正仿宋_GBK" w:cs="Times New Roman"/>
          <w:sz w:val="33"/>
          <w:szCs w:val="33"/>
        </w:rPr>
        <w:fldChar w:fldCharType="end"/>
      </w:r>
      <w:r>
        <w:rPr>
          <w:rFonts w:hint="default" w:ascii="Times New Roman" w:hAnsi="Times New Roman" w:eastAsia="方正仿宋_GBK" w:cs="Times New Roman"/>
          <w:sz w:val="33"/>
          <w:szCs w:val="33"/>
        </w:rPr>
        <w:fldChar w:fldCharType="end"/>
      </w:r>
    </w:p>
    <w:p>
      <w:pPr>
        <w:rPr>
          <w:sz w:val="33"/>
          <w:szCs w:val="33"/>
        </w:rPr>
      </w:pPr>
      <w:r>
        <w:rPr>
          <w:sz w:val="33"/>
          <w:szCs w:val="33"/>
        </w:rPr>
        <w:fldChar w:fldCharType="end"/>
      </w:r>
    </w:p>
    <w:p>
      <w:pPr>
        <w:widowControl/>
        <w:spacing w:line="440" w:lineRule="exact"/>
        <w:jc w:val="left"/>
        <w:rPr>
          <w:rFonts w:ascii="仿宋" w:hAnsi="仿宋" w:eastAsia="仿宋"/>
          <w:bCs/>
          <w:kern w:val="44"/>
          <w:sz w:val="24"/>
        </w:rPr>
      </w:pPr>
      <w:bookmarkStart w:id="16" w:name="_Toc15377196"/>
      <w:bookmarkStart w:id="17" w:name="_Toc15396599"/>
      <w:r>
        <w:rPr>
          <w:rFonts w:ascii="仿宋" w:hAnsi="仿宋" w:eastAsia="仿宋"/>
          <w:b/>
          <w:sz w:val="24"/>
        </w:rPr>
        <w:br w:type="page"/>
      </w:r>
    </w:p>
    <w:p>
      <w:pPr>
        <w:pStyle w:val="4"/>
        <w:jc w:val="center"/>
        <w:rPr>
          <w:rFonts w:ascii="黑体" w:eastAsia="黑体"/>
          <w:sz w:val="32"/>
          <w:szCs w:val="32"/>
        </w:rPr>
      </w:pPr>
      <w:bookmarkStart w:id="18" w:name="_Toc4007"/>
      <w:r>
        <w:rPr>
          <w:rFonts w:hint="eastAsia" w:ascii="黑体" w:hAnsi="黑体" w:eastAsia="黑体"/>
          <w:b w:val="0"/>
        </w:rPr>
        <w:t>第一部分 单位</w:t>
      </w:r>
      <w:r>
        <w:rPr>
          <w:rStyle w:val="28"/>
          <w:rFonts w:hint="eastAsia" w:ascii="黑体" w:hAnsi="黑体" w:eastAsia="黑体"/>
          <w:b w:val="0"/>
          <w:bCs w:val="0"/>
        </w:rPr>
        <w:t>概况</w:t>
      </w:r>
      <w:bookmarkEnd w:id="16"/>
      <w:bookmarkEnd w:id="17"/>
      <w:bookmarkEnd w:id="18"/>
    </w:p>
    <w:p>
      <w:pPr>
        <w:pStyle w:val="5"/>
        <w:numPr>
          <w:ilvl w:val="0"/>
          <w:numId w:val="1"/>
        </w:numPr>
        <w:rPr>
          <w:rStyle w:val="29"/>
          <w:rFonts w:ascii="黑体" w:hAnsi="黑体" w:eastAsia="黑体"/>
          <w:b w:val="0"/>
          <w:bCs w:val="0"/>
          <w:sz w:val="33"/>
          <w:szCs w:val="33"/>
        </w:rPr>
      </w:pPr>
      <w:bookmarkStart w:id="19" w:name="_Toc28148"/>
      <w:bookmarkStart w:id="20" w:name="_Toc15377197"/>
      <w:bookmarkStart w:id="21" w:name="_Toc15396600"/>
      <w:r>
        <w:rPr>
          <w:rStyle w:val="29"/>
          <w:rFonts w:hint="eastAsia" w:ascii="黑体" w:hAnsi="黑体" w:eastAsia="黑体"/>
          <w:b w:val="0"/>
          <w:bCs w:val="0"/>
          <w:sz w:val="33"/>
          <w:szCs w:val="33"/>
        </w:rPr>
        <w:t>主要职责</w:t>
      </w:r>
      <w:bookmarkEnd w:id="19"/>
    </w:p>
    <w:p>
      <w:pPr>
        <w:spacing w:line="576" w:lineRule="exact"/>
        <w:ind w:firstLine="645"/>
      </w:pPr>
      <w:r>
        <w:rPr>
          <w:rFonts w:eastAsia="方正仿宋_GBK"/>
          <w:sz w:val="33"/>
          <w:szCs w:val="33"/>
        </w:rPr>
        <w:t>攀枝花市纪检监察教育培训与信息中心</w:t>
      </w:r>
      <w:r>
        <w:rPr>
          <w:rFonts w:hint="eastAsia" w:eastAsia="方正仿宋_GBK"/>
          <w:sz w:val="33"/>
          <w:szCs w:val="33"/>
        </w:rPr>
        <w:t>（市监委留置中心）</w:t>
      </w:r>
      <w:r>
        <w:rPr>
          <w:rFonts w:eastAsia="方正仿宋_GBK"/>
          <w:sz w:val="33"/>
          <w:szCs w:val="33"/>
        </w:rPr>
        <w:t>，承担全市纪检监察</w:t>
      </w:r>
      <w:r>
        <w:rPr>
          <w:rFonts w:hint="eastAsia" w:eastAsia="方正仿宋_GBK"/>
          <w:sz w:val="33"/>
          <w:szCs w:val="33"/>
        </w:rPr>
        <w:t>系统信息化建设服务、纪检监察干部的教育培训</w:t>
      </w:r>
      <w:r>
        <w:rPr>
          <w:rFonts w:eastAsia="方正仿宋_GBK"/>
          <w:sz w:val="33"/>
          <w:szCs w:val="33"/>
        </w:rPr>
        <w:t>和查办党纪政纪案件的后勤保障服务工作</w:t>
      </w:r>
      <w:r>
        <w:rPr>
          <w:rFonts w:hint="eastAsia" w:eastAsia="方正仿宋_GBK"/>
          <w:sz w:val="33"/>
          <w:szCs w:val="33"/>
        </w:rPr>
        <w:t>，同时负责攀枝花市监委留置场所接纳、安置对象工作和场所的日常管理、安全保卫等后勤服务保障工作</w:t>
      </w:r>
      <w:r>
        <w:rPr>
          <w:rFonts w:eastAsia="方正仿宋_GBK"/>
          <w:sz w:val="33"/>
          <w:szCs w:val="33"/>
        </w:rPr>
        <w:t>。</w:t>
      </w:r>
    </w:p>
    <w:p>
      <w:pPr>
        <w:pStyle w:val="5"/>
        <w:numPr>
          <w:ilvl w:val="0"/>
          <w:numId w:val="1"/>
        </w:numPr>
        <w:rPr>
          <w:rFonts w:ascii="黑体" w:hAnsi="黑体" w:eastAsia="黑体"/>
          <w:b w:val="0"/>
          <w:sz w:val="33"/>
          <w:szCs w:val="33"/>
        </w:rPr>
      </w:pPr>
      <w:bookmarkStart w:id="22" w:name="_Toc27804"/>
      <w:r>
        <w:rPr>
          <w:rFonts w:hint="eastAsia" w:ascii="黑体" w:hAnsi="黑体" w:eastAsia="黑体"/>
          <w:b w:val="0"/>
          <w:sz w:val="33"/>
          <w:szCs w:val="33"/>
        </w:rPr>
        <w:t>机构设置</w:t>
      </w:r>
      <w:bookmarkEnd w:id="22"/>
    </w:p>
    <w:p>
      <w:pPr>
        <w:ind w:firstLine="660" w:firstLineChars="200"/>
        <w:rPr>
          <w:rFonts w:hint="eastAsia" w:ascii="方正仿宋_GBK" w:hAnsi="方正仿宋_GBK" w:eastAsia="方正仿宋_GBK" w:cs="方正仿宋_GBK"/>
          <w:sz w:val="33"/>
          <w:szCs w:val="33"/>
          <w:lang w:eastAsia="zh-CN"/>
        </w:rPr>
      </w:pPr>
      <w:r>
        <w:rPr>
          <w:rFonts w:hint="eastAsia" w:ascii="方正仿宋_GBK" w:hAnsi="方正仿宋_GBK" w:eastAsia="方正仿宋_GBK" w:cs="方正仿宋_GBK"/>
          <w:sz w:val="33"/>
          <w:szCs w:val="33"/>
        </w:rPr>
        <w:t>攀枝花市纪检监察教育培训与信息中心为公益一类事业单位，执行政府会计准则制度，预算级次为二级预算单位</w:t>
      </w:r>
      <w:r>
        <w:rPr>
          <w:rFonts w:hint="eastAsia" w:ascii="方正仿宋_GBK" w:hAnsi="方正仿宋_GBK" w:eastAsia="方正仿宋_GBK" w:cs="方正仿宋_GBK"/>
          <w:sz w:val="33"/>
          <w:szCs w:val="33"/>
          <w:lang w:eastAsia="zh-CN"/>
        </w:rPr>
        <w:t>。</w:t>
      </w:r>
    </w:p>
    <w:bookmarkEnd w:id="20"/>
    <w:bookmarkEnd w:id="21"/>
    <w:p>
      <w:pPr>
        <w:widowControl/>
        <w:jc w:val="left"/>
        <w:rPr>
          <w:rFonts w:ascii="仿宋" w:hAnsi="仿宋" w:eastAsia="仿宋"/>
          <w:kern w:val="0"/>
          <w:sz w:val="32"/>
          <w:szCs w:val="32"/>
        </w:rPr>
      </w:pPr>
      <w:r>
        <w:rPr>
          <w:rFonts w:ascii="仿宋" w:hAnsi="仿宋" w:eastAsia="仿宋"/>
          <w:sz w:val="32"/>
          <w:szCs w:val="32"/>
        </w:rPr>
        <w:br w:type="page"/>
      </w:r>
    </w:p>
    <w:p>
      <w:pPr>
        <w:pStyle w:val="4"/>
        <w:ind w:right="440"/>
        <w:jc w:val="center"/>
        <w:rPr>
          <w:rStyle w:val="28"/>
          <w:rFonts w:ascii="黑体" w:hAnsi="黑体" w:eastAsia="黑体"/>
          <w:b w:val="0"/>
          <w:bCs/>
        </w:rPr>
      </w:pPr>
      <w:bookmarkStart w:id="23" w:name="_Toc5482"/>
      <w:bookmarkStart w:id="24" w:name="_Toc15377204"/>
      <w:bookmarkStart w:id="25" w:name="_Toc15396602"/>
      <w:r>
        <w:rPr>
          <w:rFonts w:hint="eastAsia" w:ascii="黑体" w:hAnsi="黑体" w:eastAsia="黑体"/>
          <w:b w:val="0"/>
        </w:rPr>
        <w:t>第二部分 2022年度</w:t>
      </w:r>
      <w:r>
        <w:rPr>
          <w:rStyle w:val="28"/>
          <w:rFonts w:hint="eastAsia" w:ascii="黑体" w:hAnsi="黑体" w:eastAsia="黑体"/>
          <w:b w:val="0"/>
          <w:bCs/>
        </w:rPr>
        <w:t>单位决算情况说明</w:t>
      </w:r>
      <w:bookmarkEnd w:id="23"/>
      <w:bookmarkEnd w:id="24"/>
      <w:bookmarkEnd w:id="25"/>
    </w:p>
    <w:p/>
    <w:p>
      <w:pPr>
        <w:pStyle w:val="27"/>
        <w:numPr>
          <w:ilvl w:val="0"/>
          <w:numId w:val="2"/>
        </w:numPr>
        <w:spacing w:line="576" w:lineRule="exact"/>
        <w:ind w:firstLineChars="0"/>
        <w:outlineLvl w:val="1"/>
        <w:rPr>
          <w:rStyle w:val="29"/>
          <w:rFonts w:ascii="黑体" w:hAnsi="黑体" w:eastAsia="黑体"/>
          <w:b w:val="0"/>
          <w:sz w:val="33"/>
          <w:szCs w:val="33"/>
        </w:rPr>
      </w:pPr>
      <w:bookmarkStart w:id="26" w:name="_Toc6234"/>
      <w:bookmarkStart w:id="27" w:name="_Toc15377205"/>
      <w:bookmarkStart w:id="28" w:name="_Toc15396603"/>
      <w:r>
        <w:rPr>
          <w:rFonts w:hint="eastAsia" w:ascii="黑体" w:hAnsi="黑体" w:eastAsia="黑体"/>
          <w:sz w:val="33"/>
          <w:szCs w:val="33"/>
        </w:rPr>
        <w:t>收</w:t>
      </w:r>
      <w:r>
        <w:rPr>
          <w:rStyle w:val="29"/>
          <w:rFonts w:hint="eastAsia" w:ascii="黑体" w:hAnsi="黑体" w:eastAsia="黑体"/>
          <w:b w:val="0"/>
          <w:sz w:val="33"/>
          <w:szCs w:val="33"/>
        </w:rPr>
        <w:t>入支出决算总体情况说明</w:t>
      </w:r>
      <w:bookmarkEnd w:id="26"/>
      <w:bookmarkEnd w:id="27"/>
      <w:bookmarkEnd w:id="28"/>
    </w:p>
    <w:p>
      <w:pPr>
        <w:spacing w:line="576" w:lineRule="exact"/>
        <w:ind w:firstLine="660" w:firstLineChars="200"/>
        <w:rPr>
          <w:rFonts w:eastAsia="方正仿宋_GBK"/>
          <w:color w:val="000000"/>
          <w:kern w:val="0"/>
          <w:sz w:val="33"/>
          <w:szCs w:val="33"/>
        </w:rPr>
      </w:pPr>
      <w:r>
        <w:rPr>
          <w:rFonts w:hint="eastAsia" w:eastAsia="方正仿宋_GBK"/>
          <w:color w:val="000000"/>
          <w:kern w:val="0"/>
          <w:sz w:val="33"/>
          <w:szCs w:val="33"/>
        </w:rPr>
        <w:t>2022</w:t>
      </w:r>
      <w:r>
        <w:rPr>
          <w:rFonts w:eastAsia="方正仿宋_GBK"/>
          <w:color w:val="000000"/>
          <w:kern w:val="0"/>
          <w:sz w:val="33"/>
          <w:szCs w:val="33"/>
        </w:rPr>
        <w:t>年度收、支总计</w:t>
      </w:r>
      <w:r>
        <w:rPr>
          <w:rFonts w:hint="eastAsia" w:eastAsia="方正仿宋_GBK"/>
          <w:color w:val="000000"/>
          <w:kern w:val="0"/>
          <w:sz w:val="33"/>
          <w:szCs w:val="33"/>
        </w:rPr>
        <w:t>340.62</w:t>
      </w:r>
      <w:r>
        <w:rPr>
          <w:rFonts w:eastAsia="方正仿宋_GBK"/>
          <w:color w:val="000000"/>
          <w:kern w:val="0"/>
          <w:sz w:val="33"/>
          <w:szCs w:val="33"/>
        </w:rPr>
        <w:t>万元。与</w:t>
      </w:r>
      <w:r>
        <w:rPr>
          <w:rFonts w:hint="eastAsia" w:eastAsia="方正仿宋_GBK"/>
          <w:color w:val="000000"/>
          <w:kern w:val="0"/>
          <w:sz w:val="33"/>
          <w:szCs w:val="33"/>
        </w:rPr>
        <w:t>2021</w:t>
      </w:r>
      <w:r>
        <w:rPr>
          <w:rFonts w:eastAsia="方正仿宋_GBK"/>
          <w:color w:val="000000"/>
          <w:kern w:val="0"/>
          <w:sz w:val="33"/>
          <w:szCs w:val="33"/>
        </w:rPr>
        <w:t>年相比，收、支总计</w:t>
      </w:r>
      <w:r>
        <w:rPr>
          <w:rFonts w:hint="eastAsia" w:eastAsia="方正仿宋_GBK"/>
          <w:color w:val="000000"/>
          <w:kern w:val="0"/>
          <w:sz w:val="33"/>
          <w:szCs w:val="33"/>
        </w:rPr>
        <w:t>增加64.66</w:t>
      </w:r>
      <w:r>
        <w:rPr>
          <w:rFonts w:eastAsia="方正仿宋_GBK"/>
          <w:color w:val="000000"/>
          <w:kern w:val="0"/>
          <w:sz w:val="33"/>
          <w:szCs w:val="33"/>
        </w:rPr>
        <w:t>万元，</w:t>
      </w:r>
      <w:r>
        <w:rPr>
          <w:rFonts w:hint="eastAsia" w:eastAsia="方正仿宋_GBK"/>
          <w:color w:val="000000"/>
          <w:kern w:val="0"/>
          <w:sz w:val="33"/>
          <w:szCs w:val="33"/>
        </w:rPr>
        <w:t>增加23.43</w:t>
      </w:r>
      <w:r>
        <w:rPr>
          <w:rFonts w:eastAsia="方正仿宋_GBK"/>
          <w:color w:val="000000"/>
          <w:kern w:val="0"/>
          <w:sz w:val="33"/>
          <w:szCs w:val="33"/>
        </w:rPr>
        <w:t>%。主要</w:t>
      </w:r>
      <w:r>
        <w:rPr>
          <w:rFonts w:hint="eastAsia" w:eastAsia="方正仿宋_GBK"/>
          <w:color w:val="000000"/>
          <w:kern w:val="0"/>
          <w:sz w:val="33"/>
          <w:szCs w:val="33"/>
        </w:rPr>
        <w:t>是</w:t>
      </w:r>
      <w:r>
        <w:rPr>
          <w:rFonts w:eastAsia="方正仿宋_GBK"/>
          <w:color w:val="000000"/>
          <w:kern w:val="0"/>
          <w:sz w:val="33"/>
          <w:szCs w:val="33"/>
        </w:rPr>
        <w:t>因</w:t>
      </w:r>
      <w:r>
        <w:rPr>
          <w:rFonts w:hint="eastAsia" w:eastAsia="方正仿宋_GBK"/>
          <w:color w:val="000000"/>
          <w:kern w:val="0"/>
          <w:sz w:val="33"/>
          <w:szCs w:val="33"/>
        </w:rPr>
        <w:t>为人员增加，人员经费及项目经费比2021年增加</w:t>
      </w:r>
      <w:r>
        <w:rPr>
          <w:rFonts w:eastAsia="方正仿宋_GBK"/>
          <w:color w:val="000000"/>
          <w:kern w:val="0"/>
          <w:sz w:val="33"/>
          <w:szCs w:val="33"/>
        </w:rPr>
        <w:t>。</w:t>
      </w:r>
    </w:p>
    <w:p>
      <w:pPr>
        <w:spacing w:line="576" w:lineRule="exact"/>
        <w:ind w:firstLine="660" w:firstLineChars="200"/>
        <w:rPr>
          <w:rFonts w:hint="default" w:ascii="Times New Roman" w:hAnsi="Times New Roman" w:eastAsia="方正仿宋_GBK" w:cs="Times New Roman"/>
          <w:color w:val="000000"/>
          <w:kern w:val="0"/>
          <w:sz w:val="33"/>
          <w:szCs w:val="33"/>
        </w:rPr>
      </w:pPr>
      <w:r>
        <w:rPr>
          <w:rFonts w:hint="default" w:ascii="Times New Roman" w:hAnsi="Times New Roman" w:eastAsia="方正仿宋_GBK" w:cs="Times New Roman"/>
          <w:color w:val="000000"/>
          <w:kern w:val="0"/>
          <w:sz w:val="33"/>
          <w:szCs w:val="33"/>
        </w:rPr>
        <w:t>（图1：收、支决算总计变动情况图）（柱状图）</w:t>
      </w:r>
    </w:p>
    <w:p>
      <w:pPr>
        <w:ind w:firstLine="660" w:firstLineChars="200"/>
        <w:jc w:val="left"/>
        <w:rPr>
          <w:rFonts w:ascii="仿宋_GB2312" w:eastAsia="仿宋_GB2312"/>
          <w:sz w:val="32"/>
          <w:szCs w:val="32"/>
        </w:rPr>
      </w:pPr>
      <w:r>
        <w:rPr>
          <w:rFonts w:hint="eastAsia" w:eastAsia="方正仿宋_GBK"/>
          <w:color w:val="000000"/>
          <w:kern w:val="0"/>
          <w:sz w:val="33"/>
          <w:szCs w:val="33"/>
        </w:rPr>
        <w:object>
          <v:shape id="_x0000_i1025" o:spt="75" type="#_x0000_t75" style="height:199.85pt;width:313.4pt;" o:ole="t" filled="f" o:preferrelative="t" stroked="f" coordsize="21600,21600">
            <v:path/>
            <v:fill on="f" focussize="0,0"/>
            <v:stroke on="f" joinstyle="miter"/>
            <v:imagedata r:id="rId7" o:title=""/>
            <o:lock v:ext="edit" aspectratio="t"/>
            <w10:wrap type="none"/>
            <w10:anchorlock/>
          </v:shape>
          <o:OLEObject Type="Embed" ProgID="Excel.Chart.8" ShapeID="_x0000_i1025" DrawAspect="Content" ObjectID="_1468075725" r:id="rId6">
            <o:LockedField>false</o:LockedField>
          </o:OLEObject>
        </w:object>
      </w:r>
    </w:p>
    <w:p>
      <w:pPr>
        <w:pStyle w:val="27"/>
        <w:numPr>
          <w:ilvl w:val="0"/>
          <w:numId w:val="2"/>
        </w:numPr>
        <w:spacing w:line="600" w:lineRule="exact"/>
        <w:ind w:firstLineChars="0"/>
        <w:outlineLvl w:val="1"/>
        <w:rPr>
          <w:rStyle w:val="29"/>
          <w:rFonts w:ascii="黑体" w:hAnsi="黑体" w:eastAsia="黑体"/>
          <w:b w:val="0"/>
          <w:sz w:val="33"/>
          <w:szCs w:val="33"/>
        </w:rPr>
      </w:pPr>
      <w:bookmarkStart w:id="29" w:name="_Toc15377206"/>
      <w:bookmarkStart w:id="30" w:name="_Toc15396604"/>
      <w:bookmarkStart w:id="31" w:name="_Toc5227"/>
      <w:r>
        <w:rPr>
          <w:rFonts w:hint="eastAsia" w:ascii="黑体" w:hAnsi="黑体" w:eastAsia="黑体"/>
          <w:sz w:val="33"/>
          <w:szCs w:val="33"/>
        </w:rPr>
        <w:t>收</w:t>
      </w:r>
      <w:r>
        <w:rPr>
          <w:rStyle w:val="29"/>
          <w:rFonts w:hint="eastAsia" w:ascii="黑体" w:hAnsi="黑体" w:eastAsia="黑体"/>
          <w:b w:val="0"/>
          <w:sz w:val="33"/>
          <w:szCs w:val="33"/>
        </w:rPr>
        <w:t>入决算情况说明</w:t>
      </w:r>
      <w:bookmarkEnd w:id="29"/>
      <w:bookmarkEnd w:id="30"/>
      <w:bookmarkEnd w:id="31"/>
    </w:p>
    <w:p>
      <w:pPr>
        <w:spacing w:line="576" w:lineRule="exact"/>
        <w:ind w:firstLine="660" w:firstLineChars="200"/>
        <w:rPr>
          <w:rFonts w:ascii="仿宋" w:hAnsi="仿宋" w:eastAsia="仿宋"/>
          <w:sz w:val="32"/>
          <w:szCs w:val="32"/>
        </w:rPr>
      </w:pPr>
      <w:r>
        <w:rPr>
          <w:rFonts w:hint="eastAsia" w:eastAsia="方正仿宋_GBK"/>
          <w:color w:val="000000"/>
          <w:kern w:val="0"/>
          <w:sz w:val="33"/>
          <w:szCs w:val="33"/>
        </w:rPr>
        <w:t>2022</w:t>
      </w:r>
      <w:r>
        <w:rPr>
          <w:rFonts w:eastAsia="方正仿宋_GBK"/>
          <w:color w:val="000000"/>
          <w:kern w:val="0"/>
          <w:sz w:val="33"/>
          <w:szCs w:val="33"/>
        </w:rPr>
        <w:t>年本年收入合计</w:t>
      </w:r>
      <w:r>
        <w:rPr>
          <w:rFonts w:hint="eastAsia" w:eastAsia="方正仿宋_GBK"/>
          <w:color w:val="000000"/>
          <w:kern w:val="0"/>
          <w:sz w:val="33"/>
          <w:szCs w:val="33"/>
        </w:rPr>
        <w:t>333.59</w:t>
      </w:r>
      <w:r>
        <w:rPr>
          <w:rFonts w:eastAsia="方正仿宋_GBK"/>
          <w:color w:val="000000"/>
          <w:kern w:val="0"/>
          <w:sz w:val="33"/>
          <w:szCs w:val="33"/>
        </w:rPr>
        <w:t>万元，其中：一般公共预算财政拨款收入</w:t>
      </w:r>
      <w:r>
        <w:rPr>
          <w:rFonts w:hint="eastAsia" w:eastAsia="方正仿宋_GBK"/>
          <w:color w:val="000000"/>
          <w:kern w:val="0"/>
          <w:sz w:val="33"/>
          <w:szCs w:val="33"/>
        </w:rPr>
        <w:t>333.59</w:t>
      </w:r>
      <w:r>
        <w:rPr>
          <w:rFonts w:eastAsia="方正仿宋_GBK"/>
          <w:color w:val="000000"/>
          <w:kern w:val="0"/>
          <w:sz w:val="33"/>
          <w:szCs w:val="33"/>
        </w:rPr>
        <w:t>万元，占</w:t>
      </w:r>
      <w:r>
        <w:rPr>
          <w:rFonts w:hint="eastAsia" w:eastAsia="方正仿宋_GBK"/>
          <w:color w:val="000000"/>
          <w:kern w:val="0"/>
          <w:sz w:val="33"/>
          <w:szCs w:val="33"/>
        </w:rPr>
        <w:t>100</w:t>
      </w:r>
      <w:r>
        <w:rPr>
          <w:rFonts w:eastAsia="方正仿宋_GBK"/>
          <w:color w:val="000000"/>
          <w:kern w:val="0"/>
          <w:sz w:val="33"/>
          <w:szCs w:val="33"/>
        </w:rPr>
        <w:t>%；政府性基金预算财政拨款收入</w:t>
      </w:r>
      <w:r>
        <w:rPr>
          <w:rFonts w:hint="eastAsia" w:eastAsia="方正仿宋_GBK"/>
          <w:color w:val="000000"/>
          <w:kern w:val="0"/>
          <w:sz w:val="33"/>
          <w:szCs w:val="33"/>
        </w:rPr>
        <w:t>0</w:t>
      </w:r>
      <w:r>
        <w:rPr>
          <w:rFonts w:eastAsia="方正仿宋_GBK"/>
          <w:color w:val="000000"/>
          <w:kern w:val="0"/>
          <w:sz w:val="33"/>
          <w:szCs w:val="33"/>
        </w:rPr>
        <w:t>万元，占</w:t>
      </w:r>
      <w:r>
        <w:rPr>
          <w:rFonts w:hint="eastAsia" w:eastAsia="方正仿宋_GBK"/>
          <w:color w:val="000000"/>
          <w:kern w:val="0"/>
          <w:sz w:val="33"/>
          <w:szCs w:val="33"/>
        </w:rPr>
        <w:t>0</w:t>
      </w:r>
      <w:r>
        <w:rPr>
          <w:rFonts w:eastAsia="方正仿宋_GBK"/>
          <w:color w:val="000000"/>
          <w:kern w:val="0"/>
          <w:sz w:val="33"/>
          <w:szCs w:val="33"/>
        </w:rPr>
        <w:t>%；上级补助收入0万元，占0%；事业收入0万元，占0%；经营收入0万元，占0%；附属单位上缴收入0万元，占0%；其他收入0万元，占0%。</w:t>
      </w:r>
    </w:p>
    <w:p>
      <w:pPr>
        <w:spacing w:line="600" w:lineRule="exact"/>
        <w:ind w:firstLine="660" w:firstLineChars="20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（图2：收入决算结构图）（饼状图）</w:t>
      </w:r>
    </w:p>
    <w:p>
      <w:pPr>
        <w:ind w:firstLine="660" w:firstLineChars="200"/>
        <w:rPr>
          <w:rFonts w:eastAsia="方正仿宋_GBK"/>
          <w:color w:val="000000"/>
          <w:kern w:val="0"/>
          <w:sz w:val="33"/>
          <w:szCs w:val="33"/>
        </w:rPr>
      </w:pPr>
      <w:r>
        <w:rPr>
          <w:rFonts w:hint="eastAsia" w:eastAsia="方正仿宋_GBK"/>
          <w:color w:val="000000"/>
          <w:kern w:val="0"/>
          <w:sz w:val="33"/>
          <w:szCs w:val="33"/>
        </w:rPr>
        <w:object>
          <v:shape id="_x0000_i1026" o:spt="75" type="#_x0000_t75" style="height:199.4pt;width:312.45pt;" o:ole="t" filled="f" o:preferrelative="t" stroked="f" coordsize="21600,21600">
            <v:path/>
            <v:fill on="f" focussize="0,0"/>
            <v:stroke on="f" joinstyle="miter"/>
            <v:imagedata r:id="rId9" o:title=""/>
            <o:lock v:ext="edit" aspectratio="t"/>
            <w10:wrap type="none"/>
            <w10:anchorlock/>
          </v:shape>
          <o:OLEObject Type="Embed" ProgID="Excel.Chart.8" ShapeID="_x0000_i1026" DrawAspect="Content" ObjectID="_1468075726" r:id="rId8">
            <o:LockedField>false</o:LockedField>
          </o:OLEObject>
        </w:object>
      </w:r>
    </w:p>
    <w:p>
      <w:pPr>
        <w:spacing w:line="600" w:lineRule="exact"/>
        <w:ind w:firstLine="640" w:firstLineChars="200"/>
        <w:rPr>
          <w:rFonts w:ascii="仿宋_GB2312" w:eastAsia="仿宋_GB2312"/>
          <w:sz w:val="32"/>
          <w:szCs w:val="32"/>
        </w:rPr>
      </w:pPr>
    </w:p>
    <w:p>
      <w:pPr>
        <w:pStyle w:val="27"/>
        <w:numPr>
          <w:ilvl w:val="0"/>
          <w:numId w:val="2"/>
        </w:numPr>
        <w:spacing w:line="600" w:lineRule="exact"/>
        <w:ind w:firstLineChars="0"/>
        <w:outlineLvl w:val="1"/>
        <w:rPr>
          <w:rStyle w:val="29"/>
          <w:rFonts w:ascii="黑体" w:hAnsi="黑体" w:eastAsia="黑体"/>
          <w:b w:val="0"/>
          <w:sz w:val="33"/>
          <w:szCs w:val="33"/>
        </w:rPr>
      </w:pPr>
      <w:bookmarkStart w:id="32" w:name="_Toc15396605"/>
      <w:bookmarkStart w:id="33" w:name="_Toc15377207"/>
      <w:bookmarkStart w:id="34" w:name="_Toc23238"/>
      <w:r>
        <w:rPr>
          <w:rFonts w:hint="eastAsia" w:ascii="黑体" w:hAnsi="黑体" w:eastAsia="黑体"/>
          <w:sz w:val="33"/>
          <w:szCs w:val="33"/>
        </w:rPr>
        <w:t>支</w:t>
      </w:r>
      <w:r>
        <w:rPr>
          <w:rStyle w:val="29"/>
          <w:rFonts w:hint="eastAsia" w:ascii="黑体" w:hAnsi="黑体" w:eastAsia="黑体"/>
          <w:b w:val="0"/>
          <w:sz w:val="33"/>
          <w:szCs w:val="33"/>
        </w:rPr>
        <w:t>出决算情况说明</w:t>
      </w:r>
      <w:bookmarkEnd w:id="32"/>
      <w:bookmarkEnd w:id="33"/>
      <w:bookmarkEnd w:id="34"/>
    </w:p>
    <w:p>
      <w:pPr>
        <w:spacing w:line="576" w:lineRule="exact"/>
        <w:ind w:firstLine="660" w:firstLineChars="200"/>
        <w:rPr>
          <w:rFonts w:ascii="仿宋" w:hAnsi="仿宋" w:eastAsia="仿宋"/>
          <w:sz w:val="32"/>
          <w:szCs w:val="32"/>
          <w:shd w:val="pct10" w:color="auto" w:fill="FFFFFF"/>
        </w:rPr>
      </w:pPr>
      <w:r>
        <w:rPr>
          <w:rFonts w:hint="eastAsia" w:eastAsia="方正仿宋_GBK"/>
          <w:color w:val="000000"/>
          <w:kern w:val="0"/>
          <w:sz w:val="33"/>
          <w:szCs w:val="33"/>
        </w:rPr>
        <w:t>2022</w:t>
      </w:r>
      <w:r>
        <w:rPr>
          <w:rFonts w:eastAsia="方正仿宋_GBK"/>
          <w:color w:val="000000"/>
          <w:kern w:val="0"/>
          <w:sz w:val="33"/>
          <w:szCs w:val="33"/>
        </w:rPr>
        <w:t>年本年支出合计</w:t>
      </w:r>
      <w:r>
        <w:rPr>
          <w:rFonts w:hint="eastAsia" w:eastAsia="方正仿宋_GBK"/>
          <w:color w:val="000000"/>
          <w:kern w:val="0"/>
          <w:sz w:val="33"/>
          <w:szCs w:val="33"/>
        </w:rPr>
        <w:t>340.62</w:t>
      </w:r>
      <w:r>
        <w:rPr>
          <w:rFonts w:eastAsia="方正仿宋_GBK"/>
          <w:color w:val="000000"/>
          <w:kern w:val="0"/>
          <w:sz w:val="33"/>
          <w:szCs w:val="33"/>
        </w:rPr>
        <w:t>万元，其中：基本支出</w:t>
      </w:r>
      <w:r>
        <w:rPr>
          <w:rFonts w:hint="eastAsia" w:eastAsia="方正仿宋_GBK"/>
          <w:color w:val="000000"/>
          <w:kern w:val="0"/>
          <w:sz w:val="33"/>
          <w:szCs w:val="33"/>
        </w:rPr>
        <w:t>241.65</w:t>
      </w:r>
      <w:r>
        <w:rPr>
          <w:rFonts w:eastAsia="方正仿宋_GBK"/>
          <w:color w:val="000000"/>
          <w:kern w:val="0"/>
          <w:sz w:val="33"/>
          <w:szCs w:val="33"/>
        </w:rPr>
        <w:t>万元，占</w:t>
      </w:r>
      <w:r>
        <w:rPr>
          <w:rFonts w:hint="eastAsia" w:eastAsia="方正仿宋_GBK"/>
          <w:color w:val="000000"/>
          <w:kern w:val="0"/>
          <w:sz w:val="33"/>
          <w:szCs w:val="33"/>
        </w:rPr>
        <w:t>70.94</w:t>
      </w:r>
      <w:r>
        <w:rPr>
          <w:rFonts w:eastAsia="方正仿宋_GBK"/>
          <w:color w:val="000000"/>
          <w:kern w:val="0"/>
          <w:sz w:val="33"/>
          <w:szCs w:val="33"/>
        </w:rPr>
        <w:t>%；项目支出</w:t>
      </w:r>
      <w:r>
        <w:rPr>
          <w:rFonts w:hint="eastAsia" w:eastAsia="方正仿宋_GBK"/>
          <w:color w:val="000000"/>
          <w:kern w:val="0"/>
          <w:sz w:val="33"/>
          <w:szCs w:val="33"/>
        </w:rPr>
        <w:t>98.97</w:t>
      </w:r>
      <w:r>
        <w:rPr>
          <w:rFonts w:eastAsia="方正仿宋_GBK"/>
          <w:color w:val="000000"/>
          <w:kern w:val="0"/>
          <w:sz w:val="33"/>
          <w:szCs w:val="33"/>
        </w:rPr>
        <w:t>万元，占</w:t>
      </w:r>
      <w:r>
        <w:rPr>
          <w:rFonts w:hint="eastAsia" w:eastAsia="方正仿宋_GBK"/>
          <w:color w:val="000000"/>
          <w:kern w:val="0"/>
          <w:sz w:val="33"/>
          <w:szCs w:val="33"/>
        </w:rPr>
        <w:t>29.06</w:t>
      </w:r>
      <w:r>
        <w:rPr>
          <w:rFonts w:eastAsia="方正仿宋_GBK"/>
          <w:color w:val="000000"/>
          <w:kern w:val="0"/>
          <w:sz w:val="33"/>
          <w:szCs w:val="33"/>
        </w:rPr>
        <w:t>%；上缴上级支出0万元，占0%；经营支出0万元，占0%；对附属单位补助支出0万元，占0%。</w:t>
      </w:r>
    </w:p>
    <w:p>
      <w:pPr>
        <w:spacing w:line="600" w:lineRule="exact"/>
        <w:ind w:firstLine="660" w:firstLineChars="20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（图3：支出决算结构图）（饼状图）</w:t>
      </w:r>
    </w:p>
    <w:p>
      <w:pPr>
        <w:ind w:firstLine="660" w:firstLineChars="200"/>
        <w:rPr>
          <w:rFonts w:ascii="仿宋_GB2312" w:eastAsia="仿宋_GB2312"/>
          <w:sz w:val="32"/>
          <w:szCs w:val="32"/>
        </w:rPr>
      </w:pPr>
      <w:r>
        <w:rPr>
          <w:rFonts w:hint="eastAsia" w:eastAsia="方正仿宋_GBK"/>
          <w:color w:val="000000"/>
          <w:kern w:val="0"/>
          <w:sz w:val="33"/>
          <w:szCs w:val="33"/>
        </w:rPr>
        <w:object>
          <v:shape id="_x0000_i1027" o:spt="75" type="#_x0000_t75" style="height:203.1pt;width:318pt;" o:ole="t" filled="f" o:preferrelative="t" stroked="f" coordsize="21600,21600">
            <v:path/>
            <v:fill on="f" focussize="0,0"/>
            <v:stroke on="f" joinstyle="miter"/>
            <v:imagedata r:id="rId11" o:title=""/>
            <o:lock v:ext="edit" aspectratio="t"/>
            <w10:wrap type="none"/>
            <w10:anchorlock/>
          </v:shape>
          <o:OLEObject Type="Embed" ProgID="Excel.Chart.8" ShapeID="_x0000_i1027" DrawAspect="Content" ObjectID="_1468075727" r:id="rId10">
            <o:LockedField>false</o:LockedField>
          </o:OLEObject>
        </w:object>
      </w:r>
    </w:p>
    <w:p>
      <w:pPr>
        <w:spacing w:line="600" w:lineRule="exact"/>
        <w:ind w:firstLine="660" w:firstLineChars="200"/>
        <w:outlineLvl w:val="1"/>
        <w:rPr>
          <w:rStyle w:val="29"/>
          <w:rFonts w:ascii="黑体" w:hAnsi="黑体" w:eastAsia="黑体"/>
          <w:b w:val="0"/>
          <w:sz w:val="33"/>
          <w:szCs w:val="33"/>
        </w:rPr>
      </w:pPr>
      <w:bookmarkStart w:id="35" w:name="_Toc15483"/>
      <w:bookmarkStart w:id="36" w:name="_Toc15396606"/>
      <w:bookmarkStart w:id="37" w:name="_Toc15377208"/>
      <w:r>
        <w:rPr>
          <w:rFonts w:hint="eastAsia" w:ascii="黑体" w:hAnsi="黑体" w:eastAsia="黑体"/>
          <w:sz w:val="33"/>
          <w:szCs w:val="33"/>
        </w:rPr>
        <w:t>四、财</w:t>
      </w:r>
      <w:r>
        <w:rPr>
          <w:rStyle w:val="29"/>
          <w:rFonts w:hint="eastAsia" w:ascii="黑体" w:hAnsi="黑体" w:eastAsia="黑体"/>
          <w:b w:val="0"/>
          <w:sz w:val="33"/>
          <w:szCs w:val="33"/>
        </w:rPr>
        <w:t>政拨款收入支出决算总体情况说明</w:t>
      </w:r>
      <w:bookmarkEnd w:id="35"/>
      <w:bookmarkEnd w:id="36"/>
      <w:bookmarkEnd w:id="37"/>
    </w:p>
    <w:p>
      <w:pPr>
        <w:spacing w:line="576" w:lineRule="exact"/>
        <w:ind w:firstLine="660" w:firstLineChars="200"/>
        <w:rPr>
          <w:rFonts w:ascii="仿宋" w:hAnsi="仿宋" w:eastAsia="仿宋"/>
          <w:sz w:val="32"/>
          <w:szCs w:val="32"/>
        </w:rPr>
      </w:pPr>
      <w:r>
        <w:rPr>
          <w:rFonts w:hint="eastAsia" w:eastAsia="方正仿宋_GBK"/>
          <w:color w:val="000000"/>
          <w:kern w:val="0"/>
          <w:sz w:val="33"/>
          <w:szCs w:val="33"/>
        </w:rPr>
        <w:t>2022</w:t>
      </w:r>
      <w:r>
        <w:rPr>
          <w:rFonts w:eastAsia="方正仿宋_GBK"/>
          <w:color w:val="000000"/>
          <w:kern w:val="0"/>
          <w:sz w:val="33"/>
          <w:szCs w:val="33"/>
        </w:rPr>
        <w:t>年财政拨款收、支总计</w:t>
      </w:r>
      <w:r>
        <w:rPr>
          <w:rFonts w:hint="eastAsia" w:eastAsia="方正仿宋_GBK"/>
          <w:color w:val="000000"/>
          <w:kern w:val="0"/>
          <w:sz w:val="33"/>
          <w:szCs w:val="33"/>
        </w:rPr>
        <w:t>340.62</w:t>
      </w:r>
      <w:r>
        <w:rPr>
          <w:rFonts w:eastAsia="方正仿宋_GBK"/>
          <w:color w:val="000000"/>
          <w:kern w:val="0"/>
          <w:sz w:val="33"/>
          <w:szCs w:val="33"/>
        </w:rPr>
        <w:t>万元。与</w:t>
      </w:r>
      <w:r>
        <w:rPr>
          <w:rFonts w:hint="eastAsia" w:eastAsia="方正仿宋_GBK"/>
          <w:color w:val="000000"/>
          <w:kern w:val="0"/>
          <w:sz w:val="33"/>
          <w:szCs w:val="33"/>
        </w:rPr>
        <w:t>2021</w:t>
      </w:r>
      <w:r>
        <w:rPr>
          <w:rFonts w:eastAsia="方正仿宋_GBK"/>
          <w:color w:val="000000"/>
          <w:kern w:val="0"/>
          <w:sz w:val="33"/>
          <w:szCs w:val="33"/>
        </w:rPr>
        <w:t>年</w:t>
      </w:r>
      <w:r>
        <w:rPr>
          <w:rFonts w:hint="eastAsia" w:eastAsia="方正仿宋_GBK"/>
          <w:color w:val="000000"/>
          <w:kern w:val="0"/>
          <w:sz w:val="33"/>
          <w:szCs w:val="33"/>
        </w:rPr>
        <w:t>275.95</w:t>
      </w:r>
      <w:r>
        <w:rPr>
          <w:rFonts w:eastAsia="方正仿宋_GBK"/>
          <w:color w:val="000000"/>
          <w:kern w:val="0"/>
          <w:sz w:val="33"/>
          <w:szCs w:val="33"/>
        </w:rPr>
        <w:t>万元相比，财政拨款收、支总计各</w:t>
      </w:r>
      <w:r>
        <w:rPr>
          <w:rFonts w:hint="eastAsia" w:eastAsia="方正仿宋_GBK"/>
          <w:color w:val="000000"/>
          <w:kern w:val="0"/>
          <w:sz w:val="33"/>
          <w:szCs w:val="33"/>
        </w:rPr>
        <w:t>增加64.67</w:t>
      </w:r>
      <w:r>
        <w:rPr>
          <w:rFonts w:eastAsia="方正仿宋_GBK"/>
          <w:color w:val="000000"/>
          <w:kern w:val="0"/>
          <w:sz w:val="33"/>
          <w:szCs w:val="33"/>
        </w:rPr>
        <w:t>万元，</w:t>
      </w:r>
      <w:r>
        <w:rPr>
          <w:rFonts w:hint="eastAsia" w:eastAsia="方正仿宋_GBK"/>
          <w:color w:val="000000"/>
          <w:kern w:val="0"/>
          <w:sz w:val="33"/>
          <w:szCs w:val="33"/>
        </w:rPr>
        <w:t>增长23.44</w:t>
      </w:r>
      <w:r>
        <w:rPr>
          <w:rFonts w:eastAsia="方正仿宋_GBK"/>
          <w:color w:val="000000"/>
          <w:kern w:val="0"/>
          <w:sz w:val="33"/>
          <w:szCs w:val="33"/>
        </w:rPr>
        <w:t>%。主要变动原因</w:t>
      </w:r>
      <w:r>
        <w:rPr>
          <w:rFonts w:hint="eastAsia" w:eastAsia="方正仿宋_GBK"/>
          <w:color w:val="000000"/>
          <w:kern w:val="0"/>
          <w:sz w:val="33"/>
          <w:szCs w:val="33"/>
        </w:rPr>
        <w:t>为人员及项目经费比2021年支出增加</w:t>
      </w:r>
      <w:r>
        <w:rPr>
          <w:rFonts w:eastAsia="方正仿宋_GBK"/>
          <w:color w:val="000000"/>
          <w:kern w:val="0"/>
          <w:sz w:val="33"/>
          <w:szCs w:val="33"/>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pPr>
        <w:ind w:firstLine="660" w:firstLineChars="200"/>
        <w:rPr>
          <w:rFonts w:ascii="仿宋" w:hAnsi="仿宋" w:eastAsia="仿宋"/>
          <w:b/>
          <w:sz w:val="32"/>
          <w:szCs w:val="32"/>
        </w:rPr>
      </w:pPr>
      <w:r>
        <w:rPr>
          <w:rFonts w:hint="eastAsia" w:eastAsia="方正仿宋_GBK"/>
          <w:color w:val="000000"/>
          <w:kern w:val="0"/>
          <w:sz w:val="33"/>
          <w:szCs w:val="33"/>
        </w:rPr>
        <w:object>
          <v:shape id="_x0000_i1028" o:spt="75" type="#_x0000_t75" style="height:188.75pt;width:296.3pt;" o:ole="t" filled="f" o:preferrelative="t" stroked="f" coordsize="21600,21600">
            <v:path/>
            <v:fill on="f" focussize="0,0"/>
            <v:stroke on="f" joinstyle="miter"/>
            <v:imagedata r:id="rId13" o:title=""/>
            <o:lock v:ext="edit" aspectratio="t"/>
            <w10:wrap type="none"/>
            <w10:anchorlock/>
          </v:shape>
          <o:OLEObject Type="Embed" ProgID="Excel.Chart.8" ShapeID="_x0000_i1028" DrawAspect="Content" ObjectID="_1468075728" r:id="rId12">
            <o:LockedField>false</o:LockedField>
          </o:OLEObject>
        </w:object>
      </w:r>
    </w:p>
    <w:p>
      <w:pPr>
        <w:spacing w:line="600" w:lineRule="exact"/>
        <w:ind w:firstLine="660" w:firstLineChars="200"/>
        <w:outlineLvl w:val="1"/>
        <w:rPr>
          <w:rStyle w:val="29"/>
          <w:rFonts w:ascii="黑体" w:hAnsi="黑体" w:eastAsia="黑体"/>
          <w:b w:val="0"/>
          <w:sz w:val="33"/>
          <w:szCs w:val="33"/>
        </w:rPr>
      </w:pPr>
      <w:bookmarkStart w:id="38" w:name="_Toc3006"/>
      <w:bookmarkStart w:id="39" w:name="_Toc15377209"/>
      <w:bookmarkStart w:id="40" w:name="_Toc15396607"/>
      <w:r>
        <w:rPr>
          <w:rFonts w:hint="eastAsia" w:ascii="黑体" w:hAnsi="黑体" w:eastAsia="黑体"/>
          <w:sz w:val="33"/>
          <w:szCs w:val="33"/>
        </w:rPr>
        <w:t>五、</w:t>
      </w:r>
      <w:r>
        <w:rPr>
          <w:rFonts w:hint="eastAsia" w:ascii="黑体" w:hAnsi="黑体" w:eastAsia="黑体"/>
          <w:b/>
          <w:sz w:val="33"/>
          <w:szCs w:val="33"/>
        </w:rPr>
        <w:t>一</w:t>
      </w:r>
      <w:r>
        <w:rPr>
          <w:rStyle w:val="29"/>
          <w:rFonts w:hint="eastAsia" w:ascii="黑体" w:hAnsi="黑体" w:eastAsia="黑体"/>
          <w:b w:val="0"/>
          <w:sz w:val="33"/>
          <w:szCs w:val="33"/>
        </w:rPr>
        <w:t>般公共预算财政拨款支出决算情况说明</w:t>
      </w:r>
      <w:bookmarkEnd w:id="38"/>
      <w:bookmarkEnd w:id="39"/>
      <w:bookmarkEnd w:id="40"/>
    </w:p>
    <w:p>
      <w:pPr>
        <w:spacing w:line="600" w:lineRule="exact"/>
        <w:ind w:firstLine="663" w:firstLineChars="200"/>
        <w:outlineLvl w:val="2"/>
        <w:rPr>
          <w:rFonts w:hint="default" w:ascii="Times New Roman" w:hAnsi="Times New Roman" w:eastAsia="方正楷体_GBK" w:cs="Times New Roman"/>
          <w:b/>
          <w:sz w:val="33"/>
          <w:szCs w:val="33"/>
        </w:rPr>
      </w:pPr>
      <w:bookmarkStart w:id="41" w:name="_Toc18626"/>
      <w:bookmarkStart w:id="42" w:name="_Toc15377210"/>
      <w:r>
        <w:rPr>
          <w:rFonts w:hint="default" w:ascii="Times New Roman" w:hAnsi="Times New Roman" w:eastAsia="方正楷体_GBK" w:cs="Times New Roman"/>
          <w:b/>
          <w:sz w:val="33"/>
          <w:szCs w:val="33"/>
        </w:rPr>
        <w:t>（一）一般公共预算财政拨款支出决算总体情况</w:t>
      </w:r>
      <w:bookmarkEnd w:id="41"/>
      <w:bookmarkEnd w:id="42"/>
    </w:p>
    <w:p>
      <w:pPr>
        <w:spacing w:line="576" w:lineRule="exact"/>
        <w:ind w:firstLine="660" w:firstLineChars="200"/>
        <w:rPr>
          <w:rFonts w:hint="eastAsia" w:eastAsia="方正仿宋_GBK"/>
          <w:color w:val="000000"/>
          <w:kern w:val="0"/>
          <w:sz w:val="33"/>
          <w:szCs w:val="33"/>
        </w:rPr>
      </w:pPr>
      <w:r>
        <w:rPr>
          <w:rFonts w:hint="eastAsia" w:eastAsia="方正仿宋_GBK"/>
          <w:color w:val="000000"/>
          <w:kern w:val="0"/>
          <w:sz w:val="33"/>
          <w:szCs w:val="33"/>
        </w:rPr>
        <w:t>2022</w:t>
      </w:r>
      <w:r>
        <w:rPr>
          <w:rFonts w:eastAsia="方正仿宋_GBK"/>
          <w:color w:val="000000"/>
          <w:kern w:val="0"/>
          <w:sz w:val="33"/>
          <w:szCs w:val="33"/>
        </w:rPr>
        <w:t>年一般公共预算财政拨款支出</w:t>
      </w:r>
      <w:r>
        <w:rPr>
          <w:rFonts w:hint="eastAsia" w:eastAsia="方正仿宋_GBK"/>
          <w:color w:val="000000"/>
          <w:kern w:val="0"/>
          <w:sz w:val="33"/>
          <w:szCs w:val="33"/>
        </w:rPr>
        <w:t>340.62</w:t>
      </w:r>
      <w:r>
        <w:rPr>
          <w:rFonts w:eastAsia="方正仿宋_GBK"/>
          <w:color w:val="000000"/>
          <w:kern w:val="0"/>
          <w:sz w:val="33"/>
          <w:szCs w:val="33"/>
        </w:rPr>
        <w:t>万元，占本年支出合计的</w:t>
      </w:r>
      <w:r>
        <w:rPr>
          <w:rFonts w:hint="eastAsia" w:eastAsia="方正仿宋_GBK"/>
          <w:color w:val="000000"/>
          <w:kern w:val="0"/>
          <w:sz w:val="33"/>
          <w:szCs w:val="33"/>
        </w:rPr>
        <w:t>100</w:t>
      </w:r>
      <w:r>
        <w:rPr>
          <w:rFonts w:eastAsia="方正仿宋_GBK"/>
          <w:color w:val="000000"/>
          <w:kern w:val="0"/>
          <w:sz w:val="33"/>
          <w:szCs w:val="33"/>
        </w:rPr>
        <w:t>%。与</w:t>
      </w:r>
      <w:r>
        <w:rPr>
          <w:rFonts w:hint="eastAsia" w:eastAsia="方正仿宋_GBK"/>
          <w:color w:val="000000"/>
          <w:kern w:val="0"/>
          <w:sz w:val="33"/>
          <w:szCs w:val="33"/>
        </w:rPr>
        <w:t>2021</w:t>
      </w:r>
      <w:r>
        <w:rPr>
          <w:rFonts w:eastAsia="方正仿宋_GBK"/>
          <w:color w:val="000000"/>
          <w:kern w:val="0"/>
          <w:sz w:val="33"/>
          <w:szCs w:val="33"/>
        </w:rPr>
        <w:t>年相比，一般公共预算财政拨款增加</w:t>
      </w:r>
      <w:r>
        <w:rPr>
          <w:rFonts w:hint="eastAsia" w:eastAsia="方正仿宋_GBK"/>
          <w:color w:val="000000"/>
          <w:kern w:val="0"/>
          <w:sz w:val="33"/>
          <w:szCs w:val="33"/>
        </w:rPr>
        <w:t>65.84</w:t>
      </w:r>
      <w:r>
        <w:rPr>
          <w:rFonts w:eastAsia="方正仿宋_GBK"/>
          <w:color w:val="000000"/>
          <w:kern w:val="0"/>
          <w:sz w:val="33"/>
          <w:szCs w:val="33"/>
        </w:rPr>
        <w:t>万元，增长</w:t>
      </w:r>
      <w:r>
        <w:rPr>
          <w:rFonts w:hint="eastAsia" w:eastAsia="方正仿宋_GBK"/>
          <w:color w:val="000000"/>
          <w:kern w:val="0"/>
          <w:sz w:val="33"/>
          <w:szCs w:val="33"/>
        </w:rPr>
        <w:t>23.96</w:t>
      </w:r>
      <w:r>
        <w:rPr>
          <w:rFonts w:eastAsia="方正仿宋_GBK"/>
          <w:color w:val="000000"/>
          <w:kern w:val="0"/>
          <w:sz w:val="33"/>
          <w:szCs w:val="33"/>
        </w:rPr>
        <w:t>%。主要变动原因是</w:t>
      </w:r>
      <w:r>
        <w:rPr>
          <w:rFonts w:hint="eastAsia" w:eastAsia="方正仿宋_GBK"/>
          <w:color w:val="000000"/>
          <w:kern w:val="0"/>
          <w:sz w:val="33"/>
          <w:szCs w:val="33"/>
        </w:rPr>
        <w:t>基本支出和项目支出增加。</w:t>
      </w:r>
    </w:p>
    <w:p>
      <w:pPr>
        <w:spacing w:line="576"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pPr>
        <w:spacing w:line="600" w:lineRule="exact"/>
        <w:ind w:firstLine="640" w:firstLineChars="200"/>
        <w:rPr>
          <w:rFonts w:ascii="仿宋" w:hAnsi="仿宋" w:eastAsia="仿宋"/>
          <w:sz w:val="32"/>
          <w:szCs w:val="32"/>
        </w:rPr>
      </w:pPr>
    </w:p>
    <w:p>
      <w:pPr>
        <w:ind w:firstLine="660" w:firstLineChars="200"/>
      </w:pPr>
      <w:r>
        <w:rPr>
          <w:rFonts w:hint="eastAsia" w:eastAsia="方正仿宋_GBK"/>
          <w:color w:val="000000"/>
          <w:kern w:val="0"/>
          <w:sz w:val="33"/>
          <w:szCs w:val="33"/>
        </w:rPr>
        <w:object>
          <v:shape id="_x0000_i1029" o:spt="75" type="#_x0000_t75" style="height:185.55pt;width:290.75pt;" o:ole="t" filled="f" o:preferrelative="t" stroked="f" coordsize="21600,21600">
            <v:path/>
            <v:fill on="f" focussize="0,0"/>
            <v:stroke on="f" joinstyle="miter"/>
            <v:imagedata r:id="rId15" o:title=""/>
            <o:lock v:ext="edit" aspectratio="t"/>
            <w10:wrap type="none"/>
            <w10:anchorlock/>
          </v:shape>
          <o:OLEObject Type="Embed" ProgID="Excel.Chart.8" ShapeID="_x0000_i1029" DrawAspect="Content" ObjectID="_1468075729" r:id="rId14">
            <o:LockedField>false</o:LockedField>
          </o:OLEObject>
        </w:object>
      </w:r>
    </w:p>
    <w:p>
      <w:pPr>
        <w:spacing w:line="600" w:lineRule="exact"/>
        <w:ind w:firstLine="663" w:firstLineChars="200"/>
        <w:outlineLvl w:val="2"/>
        <w:rPr>
          <w:rFonts w:hint="default" w:ascii="Times New Roman" w:hAnsi="Times New Roman" w:eastAsia="方正楷体_GBK" w:cs="Times New Roman"/>
          <w:b/>
          <w:sz w:val="33"/>
          <w:szCs w:val="33"/>
        </w:rPr>
      </w:pPr>
      <w:bookmarkStart w:id="43" w:name="_Toc14721"/>
      <w:bookmarkStart w:id="44" w:name="_Toc15377211"/>
      <w:r>
        <w:rPr>
          <w:rFonts w:hint="default" w:ascii="Times New Roman" w:hAnsi="Times New Roman" w:eastAsia="方正楷体_GBK" w:cs="Times New Roman"/>
          <w:b/>
          <w:sz w:val="33"/>
          <w:szCs w:val="33"/>
        </w:rPr>
        <w:t>（二）一般公共预算财政拨款支出决算结构情况</w:t>
      </w:r>
      <w:bookmarkEnd w:id="43"/>
      <w:bookmarkEnd w:id="44"/>
    </w:p>
    <w:p>
      <w:pPr>
        <w:spacing w:line="576" w:lineRule="exact"/>
        <w:ind w:firstLine="660" w:firstLineChars="200"/>
        <w:rPr>
          <w:rFonts w:ascii="仿宋" w:hAnsi="仿宋" w:eastAsia="仿宋"/>
          <w:sz w:val="32"/>
          <w:szCs w:val="32"/>
        </w:rPr>
      </w:pPr>
      <w:r>
        <w:rPr>
          <w:rFonts w:hint="eastAsia" w:eastAsia="方正仿宋_GBK"/>
          <w:color w:val="000000"/>
          <w:kern w:val="0"/>
          <w:sz w:val="33"/>
          <w:szCs w:val="33"/>
        </w:rPr>
        <w:t>2022</w:t>
      </w:r>
      <w:r>
        <w:rPr>
          <w:rFonts w:eastAsia="方正仿宋_GBK"/>
          <w:color w:val="000000"/>
          <w:kern w:val="0"/>
          <w:sz w:val="33"/>
          <w:szCs w:val="33"/>
        </w:rPr>
        <w:t>年一般公共预算财政拨款支出</w:t>
      </w:r>
      <w:r>
        <w:rPr>
          <w:rFonts w:hint="eastAsia" w:eastAsia="方正仿宋_GBK"/>
          <w:color w:val="000000"/>
          <w:kern w:val="0"/>
          <w:sz w:val="33"/>
          <w:szCs w:val="33"/>
        </w:rPr>
        <w:t>340.62</w:t>
      </w:r>
      <w:r>
        <w:rPr>
          <w:rFonts w:eastAsia="方正仿宋_GBK"/>
          <w:color w:val="000000"/>
          <w:kern w:val="0"/>
          <w:sz w:val="33"/>
          <w:szCs w:val="33"/>
        </w:rPr>
        <w:t>万元，主要用于以下方面:一般公共服务支出</w:t>
      </w:r>
      <w:r>
        <w:rPr>
          <w:rFonts w:hint="eastAsia" w:eastAsia="方正仿宋_GBK"/>
          <w:color w:val="000000"/>
          <w:kern w:val="0"/>
          <w:sz w:val="33"/>
          <w:szCs w:val="33"/>
        </w:rPr>
        <w:t>297.88</w:t>
      </w:r>
      <w:r>
        <w:rPr>
          <w:rFonts w:eastAsia="方正仿宋_GBK"/>
          <w:color w:val="000000"/>
          <w:kern w:val="0"/>
          <w:sz w:val="33"/>
          <w:szCs w:val="33"/>
        </w:rPr>
        <w:t>万元，占</w:t>
      </w:r>
      <w:r>
        <w:rPr>
          <w:rFonts w:hint="eastAsia" w:eastAsia="方正仿宋_GBK"/>
          <w:color w:val="000000"/>
          <w:kern w:val="0"/>
          <w:sz w:val="33"/>
          <w:szCs w:val="33"/>
        </w:rPr>
        <w:t>87.46</w:t>
      </w:r>
      <w:r>
        <w:rPr>
          <w:rFonts w:eastAsia="方正仿宋_GBK"/>
          <w:color w:val="000000"/>
          <w:kern w:val="0"/>
          <w:sz w:val="33"/>
          <w:szCs w:val="33"/>
        </w:rPr>
        <w:t>%；教育支出0万元，占0%；科学技术支出0万元，占0%；文化旅游体育与传媒支出0万元，占0%；社会保障和就业支出</w:t>
      </w:r>
      <w:r>
        <w:rPr>
          <w:rFonts w:hint="eastAsia" w:eastAsia="方正仿宋_GBK"/>
          <w:color w:val="000000"/>
          <w:kern w:val="0"/>
          <w:sz w:val="33"/>
          <w:szCs w:val="33"/>
        </w:rPr>
        <w:t>17.64</w:t>
      </w:r>
      <w:r>
        <w:rPr>
          <w:rFonts w:eastAsia="方正仿宋_GBK"/>
          <w:color w:val="000000"/>
          <w:kern w:val="0"/>
          <w:sz w:val="33"/>
          <w:szCs w:val="33"/>
        </w:rPr>
        <w:t>万元，占</w:t>
      </w:r>
      <w:r>
        <w:rPr>
          <w:rFonts w:hint="eastAsia" w:eastAsia="方正仿宋_GBK"/>
          <w:color w:val="000000"/>
          <w:kern w:val="0"/>
          <w:sz w:val="33"/>
          <w:szCs w:val="33"/>
        </w:rPr>
        <w:t>5.18</w:t>
      </w:r>
      <w:r>
        <w:rPr>
          <w:rFonts w:eastAsia="方正仿宋_GBK"/>
          <w:color w:val="000000"/>
          <w:kern w:val="0"/>
          <w:sz w:val="33"/>
          <w:szCs w:val="33"/>
        </w:rPr>
        <w:t>%；卫生健康支出0万元，占0%；住房保障支出</w:t>
      </w:r>
      <w:r>
        <w:rPr>
          <w:rFonts w:hint="eastAsia" w:eastAsia="方正仿宋_GBK"/>
          <w:color w:val="000000"/>
          <w:kern w:val="0"/>
          <w:sz w:val="33"/>
          <w:szCs w:val="33"/>
        </w:rPr>
        <w:t>25.1</w:t>
      </w:r>
      <w:r>
        <w:rPr>
          <w:rFonts w:eastAsia="方正仿宋_GBK"/>
          <w:color w:val="000000"/>
          <w:kern w:val="0"/>
          <w:sz w:val="33"/>
          <w:szCs w:val="33"/>
        </w:rPr>
        <w:t>万元，占</w:t>
      </w:r>
      <w:r>
        <w:rPr>
          <w:rFonts w:hint="eastAsia" w:eastAsia="方正仿宋_GBK"/>
          <w:color w:val="000000"/>
          <w:kern w:val="0"/>
          <w:sz w:val="33"/>
          <w:szCs w:val="33"/>
        </w:rPr>
        <w:t>7.36</w:t>
      </w:r>
      <w:r>
        <w:rPr>
          <w:rFonts w:eastAsia="方正仿宋_GBK"/>
          <w:color w:val="000000"/>
          <w:kern w:val="0"/>
          <w:sz w:val="33"/>
          <w:szCs w:val="33"/>
        </w:rPr>
        <w:t>%</w:t>
      </w:r>
      <w:r>
        <w:rPr>
          <w:rFonts w:hint="eastAsia" w:eastAsia="方正仿宋_GBK"/>
          <w:color w:val="000000"/>
          <w:kern w:val="0"/>
          <w:sz w:val="33"/>
          <w:szCs w:val="33"/>
        </w:rPr>
        <w:t>。</w:t>
      </w:r>
    </w:p>
    <w:p>
      <w:pPr>
        <w:spacing w:line="600" w:lineRule="exact"/>
        <w:ind w:firstLine="660" w:firstLineChars="20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（图6：一般公共预算财政拨款支出决算结构）（饼状图）</w:t>
      </w:r>
    </w:p>
    <w:p>
      <w:pPr>
        <w:ind w:firstLine="660" w:firstLineChars="200"/>
        <w:rPr>
          <w:rFonts w:eastAsia="方正仿宋_GBK"/>
          <w:color w:val="000000"/>
          <w:kern w:val="0"/>
          <w:sz w:val="33"/>
          <w:szCs w:val="33"/>
        </w:rPr>
      </w:pPr>
      <w:r>
        <w:rPr>
          <w:rFonts w:hint="eastAsia" w:eastAsia="方正仿宋_GBK"/>
          <w:color w:val="000000"/>
          <w:kern w:val="0"/>
          <w:sz w:val="33"/>
          <w:szCs w:val="33"/>
        </w:rPr>
        <w:object>
          <v:shape id="_x0000_i1030" o:spt="75" type="#_x0000_t75" style="height:196.6pt;width:307.85pt;" o:ole="t" filled="f" o:preferrelative="t" stroked="f" coordsize="21600,21600">
            <v:path/>
            <v:fill on="f" focussize="0,0"/>
            <v:stroke on="f" joinstyle="miter"/>
            <v:imagedata r:id="rId17" o:title=""/>
            <o:lock v:ext="edit" aspectratio="t"/>
            <w10:wrap type="none"/>
            <w10:anchorlock/>
          </v:shape>
          <o:OLEObject Type="Embed" ProgID="Excel.Chart.8" ShapeID="_x0000_i1030" DrawAspect="Content" ObjectID="_1468075730" r:id="rId16">
            <o:LockedField>false</o:LockedField>
          </o:OLEObject>
        </w:object>
      </w:r>
    </w:p>
    <w:p>
      <w:pPr>
        <w:spacing w:line="600" w:lineRule="exact"/>
        <w:ind w:firstLine="640" w:firstLineChars="200"/>
        <w:rPr>
          <w:rFonts w:ascii="仿宋" w:hAnsi="仿宋" w:eastAsia="仿宋"/>
          <w:sz w:val="32"/>
          <w:szCs w:val="32"/>
        </w:rPr>
      </w:pPr>
    </w:p>
    <w:p>
      <w:pPr>
        <w:spacing w:line="600" w:lineRule="exact"/>
        <w:ind w:firstLine="663" w:firstLineChars="200"/>
        <w:outlineLvl w:val="2"/>
        <w:rPr>
          <w:rFonts w:hint="default" w:ascii="Times New Roman" w:hAnsi="Times New Roman" w:eastAsia="方正楷体_GBK" w:cs="Times New Roman"/>
          <w:b/>
          <w:sz w:val="33"/>
          <w:szCs w:val="33"/>
        </w:rPr>
      </w:pPr>
      <w:bookmarkStart w:id="45" w:name="_Toc15377212"/>
      <w:bookmarkStart w:id="46" w:name="_Toc14161"/>
      <w:r>
        <w:rPr>
          <w:rFonts w:hint="default" w:ascii="Times New Roman" w:hAnsi="Times New Roman" w:eastAsia="方正楷体_GBK" w:cs="Times New Roman"/>
          <w:b/>
          <w:sz w:val="33"/>
          <w:szCs w:val="33"/>
        </w:rPr>
        <w:t>（三）一般公共预算财政拨款支出决算具体情况</w:t>
      </w:r>
      <w:bookmarkEnd w:id="45"/>
      <w:bookmarkEnd w:id="46"/>
    </w:p>
    <w:p>
      <w:pPr>
        <w:spacing w:line="576" w:lineRule="exact"/>
        <w:ind w:firstLine="660" w:firstLineChars="200"/>
        <w:rPr>
          <w:rFonts w:eastAsia="方正仿宋_GBK"/>
          <w:color w:val="000000"/>
          <w:kern w:val="0"/>
          <w:sz w:val="33"/>
          <w:szCs w:val="33"/>
        </w:rPr>
      </w:pPr>
      <w:r>
        <w:rPr>
          <w:rFonts w:hint="eastAsia" w:eastAsia="方正仿宋_GBK"/>
          <w:color w:val="000000"/>
          <w:kern w:val="0"/>
          <w:sz w:val="33"/>
          <w:szCs w:val="33"/>
        </w:rPr>
        <w:t>2022</w:t>
      </w:r>
      <w:r>
        <w:rPr>
          <w:rFonts w:eastAsia="方正仿宋_GBK"/>
          <w:color w:val="000000"/>
          <w:kern w:val="0"/>
          <w:sz w:val="33"/>
          <w:szCs w:val="33"/>
        </w:rPr>
        <w:t>年</w:t>
      </w:r>
      <w:r>
        <w:rPr>
          <w:rFonts w:eastAsia="方正仿宋_GBK"/>
          <w:b/>
          <w:bCs/>
          <w:color w:val="000000"/>
          <w:kern w:val="0"/>
          <w:sz w:val="33"/>
          <w:szCs w:val="33"/>
        </w:rPr>
        <w:t>一般公共预算支出</w:t>
      </w:r>
      <w:r>
        <w:rPr>
          <w:rFonts w:eastAsia="方正仿宋_GBK"/>
          <w:color w:val="000000"/>
          <w:kern w:val="0"/>
          <w:sz w:val="33"/>
          <w:szCs w:val="33"/>
        </w:rPr>
        <w:t>决算数为</w:t>
      </w:r>
      <w:r>
        <w:rPr>
          <w:rFonts w:hint="eastAsia" w:eastAsia="方正仿宋_GBK"/>
          <w:color w:val="000000"/>
          <w:kern w:val="0"/>
          <w:sz w:val="33"/>
          <w:szCs w:val="33"/>
        </w:rPr>
        <w:t>340.62</w:t>
      </w:r>
      <w:r>
        <w:rPr>
          <w:rFonts w:eastAsia="方正仿宋_GBK"/>
          <w:color w:val="000000"/>
          <w:kern w:val="0"/>
          <w:sz w:val="33"/>
          <w:szCs w:val="33"/>
        </w:rPr>
        <w:t>万元，完成预算</w:t>
      </w:r>
      <w:r>
        <w:rPr>
          <w:rFonts w:hint="eastAsia" w:eastAsia="方正仿宋_GBK"/>
          <w:color w:val="000000"/>
          <w:kern w:val="0"/>
          <w:sz w:val="33"/>
          <w:szCs w:val="33"/>
        </w:rPr>
        <w:t>100</w:t>
      </w:r>
      <w:r>
        <w:rPr>
          <w:rFonts w:eastAsia="方正仿宋_GBK"/>
          <w:color w:val="000000"/>
          <w:kern w:val="0"/>
          <w:sz w:val="33"/>
          <w:szCs w:val="33"/>
        </w:rPr>
        <w:t>%。其中：</w:t>
      </w:r>
    </w:p>
    <w:p>
      <w:pPr>
        <w:spacing w:line="576" w:lineRule="exact"/>
        <w:ind w:firstLine="663" w:firstLineChars="200"/>
        <w:rPr>
          <w:rFonts w:eastAsia="方正仿宋_GBK"/>
          <w:sz w:val="33"/>
          <w:szCs w:val="33"/>
        </w:rPr>
      </w:pPr>
      <w:r>
        <w:rPr>
          <w:rFonts w:eastAsia="方正仿宋_GBK"/>
          <w:b/>
          <w:kern w:val="0"/>
          <w:sz w:val="33"/>
          <w:szCs w:val="33"/>
        </w:rPr>
        <w:t>1.</w:t>
      </w:r>
      <w:r>
        <w:rPr>
          <w:rFonts w:eastAsia="方正仿宋_GBK"/>
          <w:sz w:val="33"/>
          <w:szCs w:val="33"/>
        </w:rPr>
        <w:t xml:space="preserve"> </w:t>
      </w:r>
      <w:r>
        <w:rPr>
          <w:rFonts w:eastAsia="方正仿宋_GBK"/>
          <w:b/>
          <w:bCs/>
          <w:sz w:val="33"/>
          <w:szCs w:val="33"/>
        </w:rPr>
        <w:t>一般公共服务（类）纪检监察事务（款）事业运行（项）</w:t>
      </w:r>
      <w:r>
        <w:rPr>
          <w:rFonts w:eastAsia="方正仿宋_GBK"/>
          <w:sz w:val="33"/>
          <w:szCs w:val="33"/>
        </w:rPr>
        <w:t>:支出决算数为</w:t>
      </w:r>
      <w:r>
        <w:rPr>
          <w:rFonts w:hint="eastAsia" w:eastAsia="方正仿宋_GBK"/>
          <w:sz w:val="33"/>
          <w:szCs w:val="33"/>
        </w:rPr>
        <w:t>198.91</w:t>
      </w:r>
      <w:r>
        <w:rPr>
          <w:rFonts w:eastAsia="方正仿宋_GBK"/>
          <w:sz w:val="33"/>
          <w:szCs w:val="33"/>
        </w:rPr>
        <w:t>万元，完成预算</w:t>
      </w:r>
      <w:r>
        <w:rPr>
          <w:rFonts w:hint="eastAsia" w:eastAsia="方正仿宋_GBK"/>
          <w:sz w:val="33"/>
          <w:szCs w:val="33"/>
        </w:rPr>
        <w:t>100</w:t>
      </w:r>
      <w:r>
        <w:rPr>
          <w:rFonts w:eastAsia="方正仿宋_GBK"/>
          <w:sz w:val="33"/>
          <w:szCs w:val="33"/>
        </w:rPr>
        <w:t>%，决算数与预算数持</w:t>
      </w:r>
      <w:r>
        <w:rPr>
          <w:rFonts w:hint="eastAsia" w:eastAsia="方正仿宋_GBK"/>
          <w:sz w:val="33"/>
          <w:szCs w:val="33"/>
        </w:rPr>
        <w:t>平。</w:t>
      </w:r>
    </w:p>
    <w:p>
      <w:pPr>
        <w:spacing w:line="576" w:lineRule="exact"/>
        <w:ind w:firstLine="663" w:firstLineChars="200"/>
        <w:rPr>
          <w:rFonts w:eastAsia="方正仿宋_GBK"/>
          <w:color w:val="000000"/>
          <w:kern w:val="0"/>
          <w:sz w:val="33"/>
          <w:szCs w:val="33"/>
        </w:rPr>
      </w:pPr>
      <w:r>
        <w:rPr>
          <w:rFonts w:eastAsia="方正仿宋_GBK"/>
          <w:b/>
          <w:kern w:val="0"/>
          <w:sz w:val="33"/>
          <w:szCs w:val="33"/>
        </w:rPr>
        <w:t>2.</w:t>
      </w:r>
      <w:r>
        <w:rPr>
          <w:rFonts w:eastAsia="方正仿宋_GBK"/>
          <w:sz w:val="33"/>
          <w:szCs w:val="33"/>
        </w:rPr>
        <w:t xml:space="preserve"> </w:t>
      </w:r>
      <w:r>
        <w:rPr>
          <w:rFonts w:eastAsia="方正仿宋_GBK"/>
          <w:b/>
          <w:bCs/>
          <w:sz w:val="33"/>
          <w:szCs w:val="33"/>
        </w:rPr>
        <w:t>一般公共服务（类）纪检监察事务（款）其他纪检监察事务支出（项）</w:t>
      </w:r>
      <w:r>
        <w:rPr>
          <w:rFonts w:eastAsia="方正仿宋_GBK"/>
          <w:sz w:val="33"/>
          <w:szCs w:val="33"/>
        </w:rPr>
        <w:t>:支出决算数为</w:t>
      </w:r>
      <w:r>
        <w:rPr>
          <w:rFonts w:hint="eastAsia" w:eastAsia="方正仿宋_GBK"/>
          <w:sz w:val="33"/>
          <w:szCs w:val="33"/>
        </w:rPr>
        <w:t>49.01</w:t>
      </w:r>
      <w:r>
        <w:rPr>
          <w:rFonts w:eastAsia="方正仿宋_GBK"/>
          <w:sz w:val="33"/>
          <w:szCs w:val="33"/>
        </w:rPr>
        <w:t>万元，完成预算</w:t>
      </w:r>
      <w:r>
        <w:rPr>
          <w:rFonts w:hint="eastAsia" w:eastAsia="方正仿宋_GBK"/>
          <w:sz w:val="33"/>
          <w:szCs w:val="33"/>
        </w:rPr>
        <w:t>100</w:t>
      </w:r>
      <w:r>
        <w:rPr>
          <w:rFonts w:eastAsia="方正仿宋_GBK"/>
          <w:sz w:val="33"/>
          <w:szCs w:val="33"/>
        </w:rPr>
        <w:t>%，决算数与预算数持</w:t>
      </w:r>
      <w:r>
        <w:rPr>
          <w:rFonts w:hint="eastAsia" w:eastAsia="方正仿宋_GBK"/>
          <w:sz w:val="33"/>
          <w:szCs w:val="33"/>
        </w:rPr>
        <w:t>平。</w:t>
      </w:r>
    </w:p>
    <w:p>
      <w:pPr>
        <w:spacing w:line="576" w:lineRule="exact"/>
        <w:ind w:firstLine="663" w:firstLineChars="200"/>
        <w:rPr>
          <w:rFonts w:eastAsia="方正仿宋_GBK"/>
          <w:color w:val="000000"/>
          <w:kern w:val="0"/>
          <w:sz w:val="33"/>
          <w:szCs w:val="33"/>
        </w:rPr>
      </w:pPr>
      <w:r>
        <w:rPr>
          <w:rFonts w:eastAsia="方正仿宋_GBK"/>
          <w:b/>
          <w:kern w:val="0"/>
          <w:sz w:val="33"/>
          <w:szCs w:val="33"/>
        </w:rPr>
        <w:t>3.</w:t>
      </w:r>
      <w:r>
        <w:rPr>
          <w:rFonts w:eastAsia="方正仿宋_GBK"/>
          <w:sz w:val="33"/>
          <w:szCs w:val="33"/>
        </w:rPr>
        <w:t xml:space="preserve"> </w:t>
      </w:r>
      <w:r>
        <w:rPr>
          <w:rFonts w:eastAsia="方正仿宋_GBK"/>
          <w:b/>
          <w:bCs/>
          <w:sz w:val="33"/>
          <w:szCs w:val="33"/>
        </w:rPr>
        <w:t>社会保障和就业（类）</w:t>
      </w:r>
      <w:r>
        <w:rPr>
          <w:rFonts w:hint="eastAsia" w:eastAsia="方正仿宋_GBK"/>
          <w:b/>
          <w:bCs/>
          <w:sz w:val="33"/>
          <w:szCs w:val="33"/>
        </w:rPr>
        <w:t>行政事业单位养老支出</w:t>
      </w:r>
      <w:r>
        <w:rPr>
          <w:rFonts w:eastAsia="方正仿宋_GBK"/>
          <w:b/>
          <w:bCs/>
          <w:sz w:val="33"/>
          <w:szCs w:val="33"/>
        </w:rPr>
        <w:t>（款）机关事业单位基本养老保险缴费支出（项）</w:t>
      </w:r>
      <w:r>
        <w:rPr>
          <w:rFonts w:eastAsia="方正仿宋_GBK"/>
          <w:sz w:val="33"/>
          <w:szCs w:val="33"/>
        </w:rPr>
        <w:t>:支出决算数为</w:t>
      </w:r>
      <w:r>
        <w:rPr>
          <w:rFonts w:hint="eastAsia" w:eastAsia="方正仿宋_GBK"/>
          <w:sz w:val="33"/>
          <w:szCs w:val="33"/>
        </w:rPr>
        <w:t>17.64万元,完成预算</w:t>
      </w:r>
      <w:r>
        <w:rPr>
          <w:rFonts w:eastAsia="方正仿宋_GBK"/>
          <w:sz w:val="33"/>
          <w:szCs w:val="33"/>
        </w:rPr>
        <w:t>100%，决算数与预算数持</w:t>
      </w:r>
      <w:r>
        <w:rPr>
          <w:rFonts w:hint="eastAsia" w:eastAsia="方正仿宋_GBK"/>
          <w:sz w:val="33"/>
          <w:szCs w:val="33"/>
        </w:rPr>
        <w:t>平。</w:t>
      </w:r>
    </w:p>
    <w:p>
      <w:pPr>
        <w:spacing w:line="576" w:lineRule="exact"/>
        <w:ind w:firstLine="663" w:firstLineChars="200"/>
        <w:rPr>
          <w:rFonts w:eastAsia="方正仿宋_GBK"/>
          <w:sz w:val="33"/>
          <w:szCs w:val="33"/>
        </w:rPr>
      </w:pPr>
      <w:r>
        <w:rPr>
          <w:rFonts w:eastAsia="方正仿宋_GBK"/>
          <w:b/>
          <w:kern w:val="0"/>
          <w:sz w:val="33"/>
          <w:szCs w:val="33"/>
        </w:rPr>
        <w:t>4.</w:t>
      </w:r>
      <w:r>
        <w:rPr>
          <w:rFonts w:eastAsia="方正仿宋_GBK"/>
          <w:sz w:val="33"/>
          <w:szCs w:val="33"/>
        </w:rPr>
        <w:t xml:space="preserve"> </w:t>
      </w:r>
      <w:r>
        <w:rPr>
          <w:rFonts w:eastAsia="方正仿宋_GBK"/>
          <w:b/>
          <w:bCs/>
          <w:sz w:val="33"/>
          <w:szCs w:val="33"/>
        </w:rPr>
        <w:t>住房保障支出（类）住房改革支出（款）住房公积金（项）</w:t>
      </w:r>
      <w:r>
        <w:rPr>
          <w:rFonts w:eastAsia="方正仿宋_GBK"/>
          <w:sz w:val="33"/>
          <w:szCs w:val="33"/>
        </w:rPr>
        <w:t>: 支出决算数为</w:t>
      </w:r>
      <w:r>
        <w:rPr>
          <w:rFonts w:hint="eastAsia" w:eastAsia="方正仿宋_GBK"/>
          <w:sz w:val="33"/>
          <w:szCs w:val="33"/>
        </w:rPr>
        <w:t>25.1</w:t>
      </w:r>
      <w:r>
        <w:rPr>
          <w:rFonts w:eastAsia="方正仿宋_GBK"/>
          <w:sz w:val="33"/>
          <w:szCs w:val="33"/>
        </w:rPr>
        <w:t>万元，完成预算100%，决算数与预算数持平。</w:t>
      </w:r>
    </w:p>
    <w:p>
      <w:pPr>
        <w:spacing w:line="576" w:lineRule="exact"/>
        <w:ind w:firstLine="663" w:firstLineChars="200"/>
        <w:rPr>
          <w:rFonts w:ascii="仿宋" w:hAnsi="仿宋" w:eastAsia="仿宋"/>
          <w:b/>
          <w:sz w:val="32"/>
          <w:szCs w:val="32"/>
        </w:rPr>
      </w:pPr>
      <w:r>
        <w:rPr>
          <w:rFonts w:hint="eastAsia" w:eastAsia="方正仿宋_GBK"/>
          <w:b/>
          <w:kern w:val="0"/>
          <w:sz w:val="33"/>
          <w:szCs w:val="33"/>
        </w:rPr>
        <w:t>5</w:t>
      </w:r>
      <w:r>
        <w:rPr>
          <w:rFonts w:eastAsia="方正仿宋_GBK"/>
          <w:b/>
          <w:kern w:val="0"/>
          <w:sz w:val="33"/>
          <w:szCs w:val="33"/>
        </w:rPr>
        <w:t>.</w:t>
      </w:r>
      <w:r>
        <w:rPr>
          <w:rFonts w:eastAsia="方正仿宋_GBK"/>
          <w:sz w:val="33"/>
          <w:szCs w:val="33"/>
        </w:rPr>
        <w:t xml:space="preserve"> </w:t>
      </w:r>
      <w:r>
        <w:rPr>
          <w:rFonts w:eastAsia="方正仿宋_GBK"/>
          <w:b/>
          <w:bCs/>
          <w:sz w:val="33"/>
          <w:szCs w:val="33"/>
        </w:rPr>
        <w:t>一般公共服务（类）纪检监察事务（款）</w:t>
      </w:r>
      <w:r>
        <w:rPr>
          <w:rFonts w:hint="eastAsia" w:eastAsia="方正仿宋_GBK"/>
          <w:b/>
          <w:bCs/>
          <w:sz w:val="33"/>
          <w:szCs w:val="33"/>
        </w:rPr>
        <w:t>一般行政管理事务</w:t>
      </w:r>
      <w:r>
        <w:rPr>
          <w:rFonts w:eastAsia="方正仿宋_GBK"/>
          <w:b/>
          <w:bCs/>
          <w:sz w:val="33"/>
          <w:szCs w:val="33"/>
        </w:rPr>
        <w:t>（项）</w:t>
      </w:r>
      <w:r>
        <w:rPr>
          <w:rFonts w:eastAsia="方正仿宋_GBK"/>
          <w:sz w:val="33"/>
          <w:szCs w:val="33"/>
        </w:rPr>
        <w:t>:支出决算数为</w:t>
      </w:r>
      <w:r>
        <w:rPr>
          <w:rFonts w:hint="eastAsia" w:eastAsia="方正仿宋_GBK"/>
          <w:sz w:val="33"/>
          <w:szCs w:val="33"/>
        </w:rPr>
        <w:t>49.96</w:t>
      </w:r>
      <w:r>
        <w:rPr>
          <w:rFonts w:eastAsia="方正仿宋_GBK"/>
          <w:sz w:val="33"/>
          <w:szCs w:val="33"/>
        </w:rPr>
        <w:t>万元，完成预算</w:t>
      </w:r>
      <w:r>
        <w:rPr>
          <w:rFonts w:hint="eastAsia" w:eastAsia="方正仿宋_GBK"/>
          <w:sz w:val="33"/>
          <w:szCs w:val="33"/>
        </w:rPr>
        <w:t>100</w:t>
      </w:r>
      <w:r>
        <w:rPr>
          <w:rFonts w:eastAsia="方正仿宋_GBK"/>
          <w:sz w:val="33"/>
          <w:szCs w:val="33"/>
        </w:rPr>
        <w:t>%，决算数与预算数持</w:t>
      </w:r>
      <w:r>
        <w:rPr>
          <w:rFonts w:hint="eastAsia" w:eastAsia="方正仿宋_GBK"/>
          <w:sz w:val="33"/>
          <w:szCs w:val="33"/>
        </w:rPr>
        <w:t>平。</w:t>
      </w:r>
    </w:p>
    <w:p>
      <w:pPr>
        <w:tabs>
          <w:tab w:val="right" w:pos="8306"/>
        </w:tabs>
        <w:spacing w:line="600" w:lineRule="exact"/>
        <w:ind w:firstLine="640"/>
        <w:outlineLvl w:val="1"/>
        <w:rPr>
          <w:rStyle w:val="29"/>
          <w:sz w:val="33"/>
          <w:szCs w:val="33"/>
        </w:rPr>
      </w:pPr>
      <w:bookmarkStart w:id="47" w:name="_Toc15396608"/>
      <w:bookmarkStart w:id="48" w:name="_Toc15377214"/>
      <w:bookmarkStart w:id="49" w:name="_Toc19855"/>
      <w:r>
        <w:rPr>
          <w:rFonts w:hint="eastAsia" w:ascii="黑体" w:eastAsia="黑体"/>
          <w:sz w:val="33"/>
          <w:szCs w:val="33"/>
        </w:rPr>
        <w:t>六</w:t>
      </w:r>
      <w:r>
        <w:rPr>
          <w:rFonts w:hint="eastAsia" w:ascii="黑体" w:eastAsia="黑体"/>
          <w:b/>
          <w:sz w:val="33"/>
          <w:szCs w:val="33"/>
        </w:rPr>
        <w:t>、</w:t>
      </w:r>
      <w:r>
        <w:rPr>
          <w:rFonts w:hint="eastAsia" w:ascii="黑体" w:hAnsi="黑体" w:eastAsia="黑体"/>
          <w:b/>
          <w:sz w:val="33"/>
          <w:szCs w:val="33"/>
        </w:rPr>
        <w:t>一</w:t>
      </w:r>
      <w:r>
        <w:rPr>
          <w:rStyle w:val="29"/>
          <w:rFonts w:hint="eastAsia" w:ascii="黑体" w:hAnsi="黑体" w:eastAsia="黑体"/>
          <w:b w:val="0"/>
          <w:sz w:val="33"/>
          <w:szCs w:val="33"/>
        </w:rPr>
        <w:t>般公共预算财政拨款基本支出决算情况说明</w:t>
      </w:r>
      <w:bookmarkEnd w:id="47"/>
      <w:bookmarkEnd w:id="48"/>
      <w:bookmarkEnd w:id="49"/>
      <w:r>
        <w:rPr>
          <w:rStyle w:val="29"/>
          <w:rFonts w:ascii="黑体" w:hAnsi="黑体" w:eastAsia="黑体"/>
          <w:b w:val="0"/>
          <w:sz w:val="33"/>
          <w:szCs w:val="33"/>
        </w:rPr>
        <w:tab/>
      </w:r>
    </w:p>
    <w:p>
      <w:pPr>
        <w:spacing w:line="600" w:lineRule="exact"/>
        <w:ind w:firstLine="645"/>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2022年一般公共预算财政拨款基本支出</w:t>
      </w:r>
      <w:r>
        <w:rPr>
          <w:rFonts w:hint="default" w:ascii="Times New Roman" w:hAnsi="Times New Roman" w:eastAsia="方正仿宋_GBK" w:cs="Times New Roman"/>
          <w:color w:val="000000"/>
          <w:kern w:val="0"/>
          <w:sz w:val="33"/>
          <w:szCs w:val="33"/>
        </w:rPr>
        <w:t>241.65</w:t>
      </w:r>
      <w:r>
        <w:rPr>
          <w:rFonts w:hint="default" w:ascii="Times New Roman" w:hAnsi="Times New Roman" w:eastAsia="方正仿宋_GBK" w:cs="Times New Roman"/>
          <w:sz w:val="33"/>
          <w:szCs w:val="33"/>
        </w:rPr>
        <w:t>万元，其中：</w:t>
      </w:r>
    </w:p>
    <w:p>
      <w:pPr>
        <w:spacing w:line="600" w:lineRule="exact"/>
        <w:ind w:firstLine="645"/>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人员经费235.71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hint="default" w:ascii="Times New Roman" w:hAnsi="Times New Roman" w:eastAsia="方正仿宋_GBK" w:cs="Times New Roman"/>
          <w:b/>
          <w:sz w:val="33"/>
          <w:szCs w:val="33"/>
        </w:rPr>
      </w:pPr>
      <w:r>
        <w:rPr>
          <w:rFonts w:hint="default" w:ascii="Times New Roman" w:hAnsi="Times New Roman" w:eastAsia="方正仿宋_GBK" w:cs="Times New Roman"/>
          <w:sz w:val="33"/>
          <w:szCs w:val="33"/>
        </w:rPr>
        <w:t>公用经费5.94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9"/>
          <w:rFonts w:ascii="黑体" w:hAnsi="黑体" w:eastAsia="黑体"/>
          <w:b w:val="0"/>
          <w:sz w:val="33"/>
          <w:szCs w:val="33"/>
        </w:rPr>
      </w:pPr>
      <w:bookmarkStart w:id="50" w:name="_Toc15396609"/>
      <w:bookmarkStart w:id="51" w:name="_Toc32532"/>
      <w:bookmarkStart w:id="52" w:name="_Toc15377215"/>
      <w:r>
        <w:rPr>
          <w:rFonts w:hint="eastAsia" w:ascii="黑体" w:eastAsia="黑体"/>
          <w:sz w:val="33"/>
          <w:szCs w:val="33"/>
        </w:rPr>
        <w:t>七、</w:t>
      </w:r>
      <w:r>
        <w:rPr>
          <w:rStyle w:val="29"/>
          <w:rFonts w:hint="eastAsia" w:ascii="黑体" w:hAnsi="黑体" w:eastAsia="黑体"/>
          <w:b w:val="0"/>
          <w:sz w:val="33"/>
          <w:szCs w:val="33"/>
        </w:rPr>
        <w:t>财政拨款</w:t>
      </w:r>
      <w:r>
        <w:rPr>
          <w:rStyle w:val="29"/>
          <w:rFonts w:hint="eastAsia" w:ascii="黑体" w:hAnsi="黑体" w:eastAsia="黑体"/>
          <w:sz w:val="33"/>
          <w:szCs w:val="33"/>
        </w:rPr>
        <w:t>“</w:t>
      </w:r>
      <w:r>
        <w:rPr>
          <w:rStyle w:val="29"/>
          <w:rFonts w:hint="eastAsia" w:ascii="黑体" w:hAnsi="黑体" w:eastAsia="黑体"/>
          <w:b w:val="0"/>
          <w:sz w:val="33"/>
          <w:szCs w:val="33"/>
        </w:rPr>
        <w:t>三公”经费支出决算情况说明</w:t>
      </w:r>
      <w:bookmarkEnd w:id="50"/>
      <w:bookmarkEnd w:id="51"/>
      <w:bookmarkEnd w:id="52"/>
    </w:p>
    <w:p>
      <w:pPr>
        <w:spacing w:line="600" w:lineRule="exact"/>
        <w:ind w:firstLine="640"/>
        <w:outlineLvl w:val="2"/>
        <w:rPr>
          <w:rFonts w:hint="default" w:ascii="Times New Roman" w:hAnsi="Times New Roman" w:eastAsia="方正楷体_GBK" w:cs="Times New Roman"/>
          <w:b/>
          <w:sz w:val="33"/>
          <w:szCs w:val="33"/>
        </w:rPr>
      </w:pPr>
      <w:bookmarkStart w:id="53" w:name="_Toc10472"/>
      <w:bookmarkStart w:id="54" w:name="_Toc15377216"/>
      <w:r>
        <w:rPr>
          <w:rFonts w:hint="default" w:ascii="Times New Roman" w:hAnsi="Times New Roman" w:eastAsia="方正楷体_GBK" w:cs="Times New Roman"/>
          <w:b/>
          <w:sz w:val="33"/>
          <w:szCs w:val="33"/>
        </w:rPr>
        <w:t>（一）“三公”经费财政拨款支出决算总体情况说明</w:t>
      </w:r>
      <w:bookmarkEnd w:id="53"/>
      <w:bookmarkEnd w:id="54"/>
    </w:p>
    <w:p>
      <w:pPr>
        <w:spacing w:line="600" w:lineRule="exact"/>
        <w:ind w:firstLine="64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2022年“三公”经费财政拨款支出决算为0万元，完成预算0%，较上年持平，决算数小于预算数的主要原因是我单位严格遵守中央八项规定和省、市十项规定，规范单位接待范围和接待标准，在接待过程中减少不必要的花费，厉行节约。</w:t>
      </w:r>
    </w:p>
    <w:p>
      <w:pPr>
        <w:spacing w:line="600" w:lineRule="exact"/>
        <w:ind w:firstLine="640"/>
        <w:outlineLvl w:val="2"/>
        <w:rPr>
          <w:rFonts w:hint="default" w:ascii="Times New Roman" w:hAnsi="Times New Roman" w:eastAsia="方正楷体_GBK" w:cs="Times New Roman"/>
          <w:b/>
          <w:sz w:val="33"/>
          <w:szCs w:val="33"/>
        </w:rPr>
      </w:pPr>
      <w:bookmarkStart w:id="55" w:name="_Toc24816"/>
      <w:bookmarkStart w:id="56" w:name="_Toc15377217"/>
      <w:r>
        <w:rPr>
          <w:rFonts w:hint="default" w:ascii="Times New Roman" w:hAnsi="Times New Roman" w:eastAsia="方正楷体_GBK" w:cs="Times New Roman"/>
          <w:b/>
          <w:sz w:val="33"/>
          <w:szCs w:val="33"/>
        </w:rPr>
        <w:t>（二）“三公”经费财政拨款支出决算具体情况说明</w:t>
      </w:r>
      <w:bookmarkEnd w:id="55"/>
      <w:bookmarkEnd w:id="56"/>
    </w:p>
    <w:p>
      <w:pPr>
        <w:spacing w:line="600" w:lineRule="exact"/>
        <w:ind w:firstLine="64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2022年“三公”经费财政拨款支出决算中，因公出国（境）费支出决算0万元，占0%；公务用车购置及运行维护费支出决算0万元，占0%；公务接待费支出决算0万元，占0%。具体情况如下：</w:t>
      </w:r>
    </w:p>
    <w:p>
      <w:pPr>
        <w:spacing w:line="600" w:lineRule="exact"/>
        <w:ind w:firstLine="64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（图7：“三公”经费财政拨款支出结构）（饼状图）</w:t>
      </w:r>
    </w:p>
    <w:p>
      <w:pPr>
        <w:ind w:firstLine="660" w:firstLineChars="200"/>
        <w:rPr>
          <w:sz w:val="33"/>
          <w:szCs w:val="33"/>
        </w:rPr>
      </w:pPr>
      <w:r>
        <w:rPr>
          <w:rFonts w:hint="eastAsia" w:eastAsia="方正仿宋_GBK"/>
          <w:color w:val="000000"/>
          <w:kern w:val="0"/>
          <w:sz w:val="33"/>
          <w:szCs w:val="33"/>
        </w:rPr>
        <w:object>
          <v:shape id="_x0000_i1031" o:spt="75" type="#_x0000_t75" style="height:189.7pt;width:297.7pt;" o:ole="t" filled="f" o:preferrelative="t" stroked="f" coordsize="21600,21600">
            <v:path/>
            <v:fill on="f" focussize="0,0"/>
            <v:stroke on="f" joinstyle="miter"/>
            <v:imagedata r:id="rId19" o:title=""/>
            <o:lock v:ext="edit" aspectratio="t"/>
            <w10:wrap type="none"/>
            <w10:anchorlock/>
          </v:shape>
          <o:OLEObject Type="Embed" ProgID="Excel.Chart.8" ShapeID="_x0000_i1031" DrawAspect="Content" ObjectID="_1468075731" r:id="rId18">
            <o:LockedField>false</o:LockedField>
          </o:OLEObject>
        </w:object>
      </w:r>
    </w:p>
    <w:p>
      <w:pPr>
        <w:spacing w:line="600" w:lineRule="exact"/>
        <w:ind w:firstLine="640"/>
        <w:rPr>
          <w:rFonts w:hint="default" w:ascii="Times New Roman" w:hAnsi="Times New Roman" w:eastAsia="方正仿宋_GBK" w:cs="Times New Roman"/>
          <w:b w:val="0"/>
          <w:bCs/>
          <w:sz w:val="33"/>
          <w:szCs w:val="33"/>
        </w:rPr>
      </w:pPr>
      <w:r>
        <w:rPr>
          <w:rFonts w:hint="eastAsia" w:ascii="Times New Roman" w:hAnsi="Times New Roman" w:eastAsia="方正仿宋_GBK" w:cs="Times New Roman"/>
          <w:b/>
          <w:sz w:val="33"/>
          <w:szCs w:val="33"/>
          <w:lang w:val="en-US" w:eastAsia="zh-CN"/>
        </w:rPr>
        <w:t>1</w:t>
      </w:r>
      <w:r>
        <w:rPr>
          <w:rFonts w:hint="default" w:ascii="Times New Roman" w:hAnsi="Times New Roman" w:eastAsia="方正仿宋_GBK" w:cs="Times New Roman"/>
          <w:b/>
          <w:sz w:val="33"/>
          <w:szCs w:val="33"/>
        </w:rPr>
        <w:t>.因公出国（境）经费支出0万元，</w:t>
      </w:r>
      <w:r>
        <w:rPr>
          <w:rFonts w:hint="default" w:ascii="Times New Roman" w:hAnsi="Times New Roman" w:eastAsia="方正仿宋_GBK" w:cs="Times New Roman"/>
          <w:b w:val="0"/>
          <w:bCs/>
          <w:sz w:val="33"/>
          <w:szCs w:val="33"/>
        </w:rPr>
        <w:t>完成预算0%。全年安排因公出国（境）团组0次，出国（境）0人。因公出国（境）支出决算比2021年增加/减少0万元，增长/下降0%。</w:t>
      </w:r>
    </w:p>
    <w:p>
      <w:pPr>
        <w:spacing w:line="600" w:lineRule="exact"/>
        <w:ind w:firstLine="640"/>
        <w:rPr>
          <w:rFonts w:hint="default" w:ascii="Times New Roman" w:hAnsi="Times New Roman" w:eastAsia="方正仿宋_GBK" w:cs="Times New Roman"/>
          <w:b/>
          <w:sz w:val="33"/>
          <w:szCs w:val="33"/>
        </w:rPr>
      </w:pPr>
      <w:r>
        <w:rPr>
          <w:rFonts w:hint="default" w:ascii="Times New Roman" w:hAnsi="Times New Roman" w:eastAsia="方正仿宋_GBK" w:cs="Times New Roman"/>
          <w:b/>
          <w:sz w:val="33"/>
          <w:szCs w:val="33"/>
        </w:rPr>
        <w:t>2.公务用车购置及运行维护费支出</w:t>
      </w:r>
      <w:r>
        <w:rPr>
          <w:rFonts w:hint="default" w:ascii="Times New Roman" w:hAnsi="Times New Roman" w:eastAsia="方正仿宋_GBK" w:cs="Times New Roman"/>
          <w:sz w:val="33"/>
          <w:szCs w:val="33"/>
        </w:rPr>
        <w:t>0万元,</w:t>
      </w:r>
      <w:r>
        <w:rPr>
          <w:rStyle w:val="18"/>
          <w:rFonts w:hint="default" w:ascii="Times New Roman" w:hAnsi="Times New Roman" w:eastAsia="方正仿宋_GBK" w:cs="Times New Roman"/>
          <w:b w:val="0"/>
          <w:bCs/>
          <w:sz w:val="33"/>
          <w:szCs w:val="33"/>
        </w:rPr>
        <w:t>完成预算0%。</w:t>
      </w:r>
      <w:r>
        <w:rPr>
          <w:rFonts w:hint="default" w:ascii="Times New Roman" w:hAnsi="Times New Roman" w:eastAsia="方正仿宋_GBK" w:cs="Times New Roman"/>
          <w:sz w:val="33"/>
          <w:szCs w:val="33"/>
        </w:rPr>
        <w:t>公务用车购置及运行维护费支出决算比2021年增加/减少0万元，增长/下降0%。主要原因是我单位严格遵守中央八项规定和省、市十项规定，规范单位接待范围和接待标准，在接待过程中减少不必要的花费，厉行节约。</w:t>
      </w:r>
    </w:p>
    <w:p>
      <w:pPr>
        <w:spacing w:line="600" w:lineRule="exact"/>
        <w:ind w:firstLine="660" w:firstLineChars="200"/>
        <w:rPr>
          <w:rFonts w:hint="default" w:ascii="Times New Roman" w:hAnsi="Times New Roman" w:eastAsia="方正仿宋_GBK" w:cs="Times New Roman"/>
          <w:b/>
          <w:sz w:val="33"/>
          <w:szCs w:val="33"/>
        </w:rPr>
      </w:pPr>
      <w:r>
        <w:rPr>
          <w:rFonts w:hint="default" w:ascii="Times New Roman" w:hAnsi="Times New Roman" w:eastAsia="方正仿宋_GBK" w:cs="Times New Roman"/>
          <w:sz w:val="33"/>
          <w:szCs w:val="33"/>
        </w:rPr>
        <w:t>其中：</w:t>
      </w:r>
      <w:r>
        <w:rPr>
          <w:rFonts w:hint="default" w:ascii="Times New Roman" w:hAnsi="Times New Roman" w:eastAsia="方正仿宋_GBK" w:cs="Times New Roman"/>
          <w:b/>
          <w:sz w:val="33"/>
          <w:szCs w:val="33"/>
        </w:rPr>
        <w:t>公务用车购置支出</w:t>
      </w:r>
      <w:r>
        <w:rPr>
          <w:rFonts w:hint="default" w:ascii="Times New Roman" w:hAnsi="Times New Roman" w:eastAsia="方正仿宋_GBK" w:cs="Times New Roman"/>
          <w:sz w:val="33"/>
          <w:szCs w:val="33"/>
        </w:rPr>
        <w:t>0万元。全年按规定更新购置公务用车0辆，其中：轿车0辆、金额0万元，越野车0辆、金额0万元，载客汽车0辆、金额0万元。截至2022年12月底，单位共有公务用车</w:t>
      </w:r>
      <w:r>
        <w:rPr>
          <w:rFonts w:hint="eastAsia" w:eastAsia="方正仿宋_GBK" w:cs="Times New Roman"/>
          <w:sz w:val="33"/>
          <w:szCs w:val="33"/>
          <w:lang w:val="en-US" w:eastAsia="zh-CN"/>
        </w:rPr>
        <w:t>0</w:t>
      </w:r>
      <w:r>
        <w:rPr>
          <w:rFonts w:hint="default" w:ascii="Times New Roman" w:hAnsi="Times New Roman" w:eastAsia="方正仿宋_GBK" w:cs="Times New Roman"/>
          <w:sz w:val="33"/>
          <w:szCs w:val="33"/>
        </w:rPr>
        <w:t>辆，其中：轿车0辆、越野车0辆、载客汽车0辆。</w:t>
      </w:r>
    </w:p>
    <w:p>
      <w:pPr>
        <w:spacing w:line="600" w:lineRule="exact"/>
        <w:ind w:firstLine="640"/>
        <w:rPr>
          <w:rFonts w:hint="default" w:ascii="Times New Roman" w:hAnsi="Times New Roman" w:eastAsia="方正仿宋_GBK" w:cs="Times New Roman"/>
          <w:sz w:val="33"/>
          <w:szCs w:val="33"/>
        </w:rPr>
      </w:pPr>
      <w:r>
        <w:rPr>
          <w:rFonts w:hint="default" w:ascii="Times New Roman" w:hAnsi="Times New Roman" w:eastAsia="方正仿宋_GBK" w:cs="Times New Roman"/>
          <w:b/>
          <w:sz w:val="33"/>
          <w:szCs w:val="33"/>
        </w:rPr>
        <w:t>公务用车运行维护费支出</w:t>
      </w:r>
      <w:r>
        <w:rPr>
          <w:rFonts w:hint="default" w:ascii="Times New Roman" w:hAnsi="Times New Roman" w:eastAsia="方正仿宋_GBK" w:cs="Times New Roman"/>
          <w:sz w:val="33"/>
          <w:szCs w:val="33"/>
        </w:rPr>
        <w:t>0万元。主要用于参加开展监督检查、调研、办案等所需的公务用车燃料费、维修费、过路过桥费、保险费等支出。</w:t>
      </w:r>
    </w:p>
    <w:p>
      <w:pPr>
        <w:spacing w:line="600" w:lineRule="exact"/>
        <w:ind w:firstLine="640"/>
        <w:rPr>
          <w:rFonts w:hint="default" w:ascii="Times New Roman" w:hAnsi="Times New Roman" w:eastAsia="方正仿宋_GBK" w:cs="Times New Roman"/>
          <w:sz w:val="33"/>
          <w:szCs w:val="33"/>
        </w:rPr>
      </w:pPr>
      <w:r>
        <w:rPr>
          <w:rFonts w:hint="default" w:ascii="Times New Roman" w:hAnsi="Times New Roman" w:eastAsia="方正仿宋_GBK" w:cs="Times New Roman"/>
          <w:b/>
          <w:sz w:val="33"/>
          <w:szCs w:val="33"/>
        </w:rPr>
        <w:t>3.公务接待费支出</w:t>
      </w:r>
      <w:r>
        <w:rPr>
          <w:rFonts w:hint="default" w:ascii="Times New Roman" w:hAnsi="Times New Roman" w:eastAsia="方正仿宋_GBK" w:cs="Times New Roman"/>
          <w:sz w:val="33"/>
          <w:szCs w:val="33"/>
        </w:rPr>
        <w:t>0万元，</w:t>
      </w:r>
      <w:r>
        <w:rPr>
          <w:rStyle w:val="18"/>
          <w:rFonts w:hint="default" w:ascii="Times New Roman" w:hAnsi="Times New Roman" w:eastAsia="方正仿宋_GBK" w:cs="Times New Roman"/>
          <w:b w:val="0"/>
          <w:bCs/>
          <w:sz w:val="33"/>
          <w:szCs w:val="33"/>
        </w:rPr>
        <w:t>完成预算0%。</w:t>
      </w:r>
      <w:r>
        <w:rPr>
          <w:rFonts w:hint="default" w:ascii="Times New Roman" w:hAnsi="Times New Roman" w:eastAsia="方正仿宋_GBK" w:cs="Times New Roman"/>
          <w:sz w:val="33"/>
          <w:szCs w:val="33"/>
        </w:rPr>
        <w:t>公务接待费支出决算比2021年增加/减少0万元，增长/下降0%。主要原因是我单位严格遵守中央八项规定和省、市十项规定，规范单位接待范围和接待标准，在接待过程中减少不必要的花费，厉行节约。</w:t>
      </w:r>
    </w:p>
    <w:p>
      <w:pPr>
        <w:spacing w:line="600" w:lineRule="exact"/>
        <w:ind w:firstLine="64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其中：</w:t>
      </w:r>
      <w:r>
        <w:rPr>
          <w:rFonts w:hint="default" w:ascii="Times New Roman" w:hAnsi="Times New Roman" w:eastAsia="方正仿宋_GBK" w:cs="Times New Roman"/>
          <w:b/>
          <w:sz w:val="33"/>
          <w:szCs w:val="33"/>
        </w:rPr>
        <w:t>国内公务接待支出</w:t>
      </w:r>
      <w:r>
        <w:rPr>
          <w:rFonts w:hint="default" w:ascii="Times New Roman" w:hAnsi="Times New Roman" w:eastAsia="方正仿宋_GBK" w:cs="Times New Roman"/>
          <w:sz w:val="33"/>
          <w:szCs w:val="33"/>
        </w:rPr>
        <w:t>0万元，主要用于纪检监察相关工作开展、执行公务、开展业务活动开支的交通费、住宿费、用餐费等。国内公务接待0批次，0人次（不包括陪同人员），共计支出0万元.</w:t>
      </w:r>
    </w:p>
    <w:p>
      <w:pPr>
        <w:spacing w:line="600" w:lineRule="exact"/>
        <w:ind w:firstLine="663" w:firstLineChars="200"/>
        <w:rPr>
          <w:rFonts w:hint="default" w:ascii="Times New Roman" w:hAnsi="Times New Roman" w:eastAsia="方正仿宋_GBK" w:cs="Times New Roman"/>
          <w:sz w:val="33"/>
          <w:szCs w:val="33"/>
        </w:rPr>
      </w:pPr>
      <w:r>
        <w:rPr>
          <w:rFonts w:hint="default" w:ascii="Times New Roman" w:hAnsi="Times New Roman" w:eastAsia="方正仿宋_GBK" w:cs="Times New Roman"/>
          <w:b/>
          <w:sz w:val="33"/>
          <w:szCs w:val="33"/>
        </w:rPr>
        <w:t>外事接待支出</w:t>
      </w:r>
      <w:r>
        <w:rPr>
          <w:rFonts w:hint="default" w:ascii="Times New Roman" w:hAnsi="Times New Roman" w:eastAsia="方正仿宋_GBK" w:cs="Times New Roman"/>
          <w:sz w:val="33"/>
          <w:szCs w:val="33"/>
        </w:rPr>
        <w:t>0万元，主要用于接待境外来工作接待。外事接待0批次，0人次（不包括陪同人员），共计支出0万元。</w:t>
      </w:r>
      <w:bookmarkStart w:id="57" w:name="_Toc15396610"/>
      <w:bookmarkStart w:id="58" w:name="_Toc15377218"/>
    </w:p>
    <w:p>
      <w:pPr>
        <w:spacing w:line="600" w:lineRule="exact"/>
        <w:ind w:firstLine="640"/>
        <w:outlineLvl w:val="1"/>
        <w:rPr>
          <w:rStyle w:val="29"/>
          <w:rFonts w:ascii="黑体" w:hAnsi="黑体" w:eastAsia="黑体"/>
          <w:sz w:val="33"/>
          <w:szCs w:val="33"/>
        </w:rPr>
      </w:pPr>
      <w:bookmarkStart w:id="59" w:name="_Toc1600"/>
      <w:r>
        <w:rPr>
          <w:rFonts w:hint="eastAsia" w:ascii="黑体" w:eastAsia="黑体"/>
          <w:sz w:val="33"/>
          <w:szCs w:val="33"/>
        </w:rPr>
        <w:t>八、</w:t>
      </w:r>
      <w:r>
        <w:rPr>
          <w:rStyle w:val="29"/>
          <w:rFonts w:hint="eastAsia" w:ascii="黑体" w:hAnsi="黑体" w:eastAsia="黑体"/>
          <w:b w:val="0"/>
          <w:sz w:val="33"/>
          <w:szCs w:val="33"/>
        </w:rPr>
        <w:t>政府性基金预算支出决算情况说明</w:t>
      </w:r>
      <w:bookmarkEnd w:id="57"/>
      <w:bookmarkEnd w:id="58"/>
      <w:bookmarkEnd w:id="59"/>
    </w:p>
    <w:p>
      <w:pPr>
        <w:spacing w:line="600" w:lineRule="exact"/>
        <w:ind w:firstLine="64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2022年政府性基金预算财政拨款支出0万元。</w:t>
      </w:r>
    </w:p>
    <w:p>
      <w:pPr>
        <w:numPr>
          <w:ilvl w:val="0"/>
          <w:numId w:val="3"/>
        </w:numPr>
        <w:spacing w:line="600" w:lineRule="exact"/>
        <w:ind w:firstLine="640"/>
        <w:outlineLvl w:val="1"/>
        <w:rPr>
          <w:rStyle w:val="29"/>
          <w:rFonts w:ascii="黑体" w:hAnsi="黑体" w:eastAsia="黑体"/>
          <w:b w:val="0"/>
          <w:sz w:val="33"/>
          <w:szCs w:val="33"/>
        </w:rPr>
      </w:pPr>
      <w:bookmarkStart w:id="60" w:name="_Toc15377219"/>
      <w:bookmarkStart w:id="61" w:name="_Toc9287"/>
      <w:bookmarkStart w:id="62" w:name="_Toc15396611"/>
      <w:r>
        <w:rPr>
          <w:rStyle w:val="29"/>
          <w:rFonts w:hint="eastAsia" w:ascii="黑体" w:hAnsi="黑体" w:eastAsia="黑体"/>
          <w:b w:val="0"/>
          <w:sz w:val="33"/>
          <w:szCs w:val="33"/>
        </w:rPr>
        <w:t>国有资本经营预算支出决算情况说明</w:t>
      </w:r>
      <w:bookmarkEnd w:id="60"/>
      <w:bookmarkEnd w:id="61"/>
      <w:bookmarkEnd w:id="62"/>
    </w:p>
    <w:p>
      <w:pPr>
        <w:spacing w:line="600" w:lineRule="exact"/>
        <w:ind w:firstLine="64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2022年国有资本经营预算财政拨款支出0万元。</w:t>
      </w:r>
    </w:p>
    <w:p>
      <w:pPr>
        <w:numPr>
          <w:ilvl w:val="0"/>
          <w:numId w:val="3"/>
        </w:numPr>
        <w:spacing w:line="600" w:lineRule="exact"/>
        <w:ind w:firstLine="640"/>
        <w:outlineLvl w:val="1"/>
        <w:rPr>
          <w:rStyle w:val="29"/>
          <w:rFonts w:ascii="黑体" w:hAnsi="黑体" w:eastAsia="黑体"/>
          <w:b w:val="0"/>
          <w:sz w:val="33"/>
          <w:szCs w:val="33"/>
        </w:rPr>
      </w:pPr>
      <w:bookmarkStart w:id="63" w:name="_Toc15377221"/>
      <w:bookmarkStart w:id="64" w:name="_Toc32185"/>
      <w:bookmarkStart w:id="65" w:name="_Toc15396612"/>
      <w:r>
        <w:rPr>
          <w:rStyle w:val="29"/>
          <w:rFonts w:hint="eastAsia" w:ascii="黑体" w:hAnsi="黑体" w:eastAsia="黑体"/>
          <w:b w:val="0"/>
          <w:sz w:val="33"/>
          <w:szCs w:val="33"/>
        </w:rPr>
        <w:t>其他重要事项的情况说明</w:t>
      </w:r>
      <w:bookmarkEnd w:id="63"/>
      <w:bookmarkEnd w:id="64"/>
      <w:bookmarkEnd w:id="65"/>
    </w:p>
    <w:p>
      <w:pPr>
        <w:spacing w:line="600" w:lineRule="exact"/>
        <w:ind w:firstLine="663" w:firstLineChars="200"/>
        <w:outlineLvl w:val="2"/>
        <w:rPr>
          <w:rFonts w:hint="default" w:ascii="Times New Roman" w:hAnsi="Times New Roman" w:eastAsia="方正楷体_GBK" w:cs="Times New Roman"/>
          <w:sz w:val="33"/>
          <w:szCs w:val="33"/>
        </w:rPr>
      </w:pPr>
      <w:bookmarkStart w:id="66" w:name="_Toc15377222"/>
      <w:bookmarkStart w:id="67" w:name="_Toc32386"/>
      <w:r>
        <w:rPr>
          <w:rFonts w:hint="default" w:ascii="Times New Roman" w:hAnsi="Times New Roman" w:eastAsia="方正楷体_GBK" w:cs="Times New Roman"/>
          <w:b/>
          <w:sz w:val="33"/>
          <w:szCs w:val="33"/>
        </w:rPr>
        <w:t>（一）机关运行经费支出情况</w:t>
      </w:r>
      <w:bookmarkEnd w:id="66"/>
      <w:bookmarkEnd w:id="67"/>
    </w:p>
    <w:p>
      <w:pPr>
        <w:spacing w:line="600" w:lineRule="exact"/>
        <w:ind w:firstLine="660" w:firstLineChars="20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2022年，攀枝花市纪检监察教育培训与信息中心机关运行经费支出0万元，与2021年决算数持平。</w:t>
      </w:r>
    </w:p>
    <w:p>
      <w:pPr>
        <w:autoSpaceDE w:val="0"/>
        <w:autoSpaceDN w:val="0"/>
        <w:adjustRightInd w:val="0"/>
        <w:spacing w:line="600" w:lineRule="exact"/>
        <w:ind w:firstLine="663" w:firstLineChars="200"/>
        <w:jc w:val="left"/>
        <w:outlineLvl w:val="2"/>
        <w:rPr>
          <w:rFonts w:hint="default" w:ascii="Times New Roman" w:hAnsi="Times New Roman" w:eastAsia="方正楷体_GBK" w:cs="Times New Roman"/>
          <w:b/>
          <w:sz w:val="33"/>
          <w:szCs w:val="33"/>
        </w:rPr>
      </w:pPr>
      <w:bookmarkStart w:id="68" w:name="_Toc15377223"/>
      <w:bookmarkStart w:id="69" w:name="_Toc7613"/>
      <w:r>
        <w:rPr>
          <w:rFonts w:hint="default" w:ascii="Times New Roman" w:hAnsi="Times New Roman" w:eastAsia="方正楷体_GBK" w:cs="Times New Roman"/>
          <w:b/>
          <w:sz w:val="33"/>
          <w:szCs w:val="33"/>
        </w:rPr>
        <w:t>（二）政府采购支出情况</w:t>
      </w:r>
      <w:bookmarkEnd w:id="68"/>
      <w:bookmarkEnd w:id="69"/>
    </w:p>
    <w:p>
      <w:pPr>
        <w:spacing w:line="576" w:lineRule="exact"/>
        <w:ind w:firstLine="660" w:firstLineChars="200"/>
        <w:rPr>
          <w:sz w:val="33"/>
          <w:szCs w:val="33"/>
        </w:rPr>
      </w:pPr>
      <w:r>
        <w:rPr>
          <w:rFonts w:hint="eastAsia" w:eastAsia="方正仿宋_GBK"/>
          <w:color w:val="000000"/>
          <w:kern w:val="0"/>
          <w:sz w:val="33"/>
          <w:szCs w:val="33"/>
        </w:rPr>
        <w:t>2022</w:t>
      </w:r>
      <w:r>
        <w:rPr>
          <w:rFonts w:eastAsia="方正仿宋_GBK"/>
          <w:color w:val="000000"/>
          <w:kern w:val="0"/>
          <w:sz w:val="33"/>
          <w:szCs w:val="33"/>
        </w:rPr>
        <w:t>年，</w:t>
      </w:r>
      <w:r>
        <w:rPr>
          <w:rFonts w:hint="eastAsia" w:eastAsia="方正仿宋_GBK"/>
          <w:color w:val="000000"/>
          <w:kern w:val="0"/>
          <w:sz w:val="33"/>
          <w:szCs w:val="33"/>
        </w:rPr>
        <w:t>攀枝花市纪检监察教育培训与信息中心</w:t>
      </w:r>
      <w:r>
        <w:rPr>
          <w:rFonts w:eastAsia="方正仿宋_GBK"/>
          <w:color w:val="000000"/>
          <w:kern w:val="0"/>
          <w:sz w:val="33"/>
          <w:szCs w:val="33"/>
        </w:rPr>
        <w:t>政府采购支出总额</w:t>
      </w:r>
      <w:r>
        <w:rPr>
          <w:rFonts w:hint="eastAsia" w:eastAsia="方正仿宋_GBK"/>
          <w:color w:val="000000"/>
          <w:kern w:val="0"/>
          <w:sz w:val="33"/>
          <w:szCs w:val="33"/>
        </w:rPr>
        <w:t>0</w:t>
      </w:r>
      <w:r>
        <w:rPr>
          <w:rFonts w:eastAsia="方正仿宋_GBK"/>
          <w:color w:val="000000"/>
          <w:kern w:val="0"/>
          <w:sz w:val="33"/>
          <w:szCs w:val="33"/>
        </w:rPr>
        <w:t>万元，其中：政府采购货物支出</w:t>
      </w:r>
      <w:r>
        <w:rPr>
          <w:rFonts w:hint="eastAsia" w:eastAsia="方正仿宋_GBK"/>
          <w:color w:val="000000"/>
          <w:kern w:val="0"/>
          <w:sz w:val="33"/>
          <w:szCs w:val="33"/>
        </w:rPr>
        <w:t>0</w:t>
      </w:r>
      <w:r>
        <w:rPr>
          <w:rFonts w:eastAsia="方正仿宋_GBK"/>
          <w:color w:val="000000"/>
          <w:kern w:val="0"/>
          <w:sz w:val="33"/>
          <w:szCs w:val="33"/>
        </w:rPr>
        <w:t>万元、政府采购工程支出0万元、政府采购服务支出0万元。</w:t>
      </w:r>
      <w:bookmarkStart w:id="107" w:name="_GoBack"/>
      <w:bookmarkEnd w:id="107"/>
      <w:r>
        <w:rPr>
          <w:rFonts w:eastAsia="方正仿宋_GBK"/>
          <w:color w:val="000000"/>
          <w:kern w:val="0"/>
          <w:sz w:val="33"/>
          <w:szCs w:val="33"/>
        </w:rPr>
        <w:t>授予中小企业合同金额0万元，占政府采购支出总额的0%，其中：授予小微企业合同金额0万元，占政府采购支出总额的0%。</w:t>
      </w:r>
    </w:p>
    <w:p>
      <w:pPr>
        <w:autoSpaceDE w:val="0"/>
        <w:autoSpaceDN w:val="0"/>
        <w:adjustRightInd w:val="0"/>
        <w:spacing w:line="600" w:lineRule="exact"/>
        <w:ind w:firstLine="663" w:firstLineChars="200"/>
        <w:jc w:val="left"/>
        <w:outlineLvl w:val="2"/>
        <w:rPr>
          <w:rFonts w:hint="default" w:ascii="Times New Roman" w:hAnsi="Times New Roman" w:eastAsia="方正楷体_GBK" w:cs="Times New Roman"/>
          <w:b/>
          <w:sz w:val="33"/>
          <w:szCs w:val="33"/>
        </w:rPr>
      </w:pPr>
      <w:bookmarkStart w:id="70" w:name="_Toc16502"/>
      <w:bookmarkStart w:id="71" w:name="_Toc15377224"/>
      <w:r>
        <w:rPr>
          <w:rFonts w:hint="default" w:ascii="Times New Roman" w:hAnsi="Times New Roman" w:eastAsia="方正楷体_GBK" w:cs="Times New Roman"/>
          <w:b/>
          <w:sz w:val="33"/>
          <w:szCs w:val="33"/>
        </w:rPr>
        <w:t>（三）国有资产占有使用情况</w:t>
      </w:r>
      <w:bookmarkEnd w:id="70"/>
      <w:bookmarkEnd w:id="71"/>
    </w:p>
    <w:p>
      <w:pPr>
        <w:spacing w:line="576" w:lineRule="exact"/>
        <w:ind w:firstLine="660" w:firstLineChars="200"/>
        <w:rPr>
          <w:rFonts w:eastAsia="方正仿宋_GBK"/>
          <w:color w:val="000000"/>
          <w:kern w:val="0"/>
          <w:sz w:val="33"/>
          <w:szCs w:val="33"/>
        </w:rPr>
      </w:pPr>
      <w:r>
        <w:rPr>
          <w:rFonts w:eastAsia="方正仿宋_GBK"/>
          <w:color w:val="000000"/>
          <w:kern w:val="0"/>
          <w:sz w:val="33"/>
          <w:szCs w:val="33"/>
        </w:rPr>
        <w:t>截至</w:t>
      </w:r>
      <w:r>
        <w:rPr>
          <w:rFonts w:hint="eastAsia" w:eastAsia="方正仿宋_GBK"/>
          <w:color w:val="000000"/>
          <w:kern w:val="0"/>
          <w:sz w:val="33"/>
          <w:szCs w:val="33"/>
        </w:rPr>
        <w:t>2022</w:t>
      </w:r>
      <w:r>
        <w:rPr>
          <w:rFonts w:eastAsia="方正仿宋_GBK"/>
          <w:color w:val="000000"/>
          <w:kern w:val="0"/>
          <w:sz w:val="33"/>
          <w:szCs w:val="33"/>
        </w:rPr>
        <w:t>年12月31日，</w:t>
      </w:r>
      <w:r>
        <w:rPr>
          <w:rFonts w:hint="eastAsia" w:eastAsia="方正仿宋_GBK"/>
          <w:color w:val="000000"/>
          <w:kern w:val="0"/>
          <w:sz w:val="33"/>
          <w:szCs w:val="33"/>
        </w:rPr>
        <w:t>攀枝花市纪检监察教育培训与信息中心</w:t>
      </w:r>
      <w:r>
        <w:rPr>
          <w:rFonts w:eastAsia="方正仿宋_GBK"/>
          <w:color w:val="000000"/>
          <w:kern w:val="0"/>
          <w:sz w:val="33"/>
          <w:szCs w:val="33"/>
        </w:rPr>
        <w:t>共有车辆</w:t>
      </w:r>
      <w:r>
        <w:rPr>
          <w:rFonts w:hint="eastAsia" w:eastAsia="方正仿宋_GBK"/>
          <w:color w:val="000000"/>
          <w:kern w:val="0"/>
          <w:sz w:val="33"/>
          <w:szCs w:val="33"/>
          <w:lang w:val="en-US" w:eastAsia="zh-CN"/>
        </w:rPr>
        <w:t>0</w:t>
      </w:r>
      <w:r>
        <w:rPr>
          <w:rFonts w:eastAsia="方正仿宋_GBK"/>
          <w:color w:val="000000"/>
          <w:kern w:val="0"/>
          <w:sz w:val="33"/>
          <w:szCs w:val="33"/>
        </w:rPr>
        <w:t>辆，其中：主要领导干部用车0辆、机要通信用车0辆、应急保障用车0辆、执法执勤车</w:t>
      </w:r>
      <w:r>
        <w:rPr>
          <w:rFonts w:hint="eastAsia" w:eastAsia="方正仿宋_GBK"/>
          <w:color w:val="000000"/>
          <w:kern w:val="0"/>
          <w:sz w:val="33"/>
          <w:szCs w:val="33"/>
        </w:rPr>
        <w:t>0</w:t>
      </w:r>
      <w:r>
        <w:rPr>
          <w:rFonts w:eastAsia="方正仿宋_GBK"/>
          <w:color w:val="000000"/>
          <w:kern w:val="0"/>
          <w:sz w:val="33"/>
          <w:szCs w:val="33"/>
        </w:rPr>
        <w:t>辆、其他用车</w:t>
      </w:r>
      <w:r>
        <w:rPr>
          <w:rFonts w:hint="eastAsia" w:eastAsia="方正仿宋_GBK"/>
          <w:color w:val="000000"/>
          <w:kern w:val="0"/>
          <w:sz w:val="33"/>
          <w:szCs w:val="33"/>
          <w:lang w:val="en-US" w:eastAsia="zh-CN"/>
        </w:rPr>
        <w:t>0</w:t>
      </w:r>
      <w:r>
        <w:rPr>
          <w:rFonts w:eastAsia="方正仿宋_GBK"/>
          <w:color w:val="000000"/>
          <w:kern w:val="0"/>
          <w:sz w:val="33"/>
          <w:szCs w:val="33"/>
        </w:rPr>
        <w:t>辆</w:t>
      </w:r>
      <w:r>
        <w:rPr>
          <w:rFonts w:eastAsia="方正仿宋_GBK"/>
          <w:sz w:val="33"/>
          <w:szCs w:val="33"/>
        </w:rPr>
        <w:t>。</w:t>
      </w:r>
      <w:r>
        <w:rPr>
          <w:rFonts w:eastAsia="方正仿宋_GBK"/>
          <w:color w:val="000000"/>
          <w:kern w:val="0"/>
          <w:sz w:val="33"/>
          <w:szCs w:val="33"/>
        </w:rPr>
        <w:t>单价50万元以上通用设备0台（套），单价100万元以上专用设备0台（套）。</w:t>
      </w:r>
    </w:p>
    <w:p>
      <w:pPr>
        <w:autoSpaceDE w:val="0"/>
        <w:autoSpaceDN w:val="0"/>
        <w:adjustRightInd w:val="0"/>
        <w:spacing w:line="600" w:lineRule="exact"/>
        <w:ind w:firstLine="663" w:firstLineChars="200"/>
        <w:jc w:val="left"/>
        <w:outlineLvl w:val="2"/>
        <w:rPr>
          <w:rFonts w:hint="default" w:ascii="Times New Roman" w:hAnsi="Times New Roman" w:eastAsia="方正楷体_GBK" w:cs="Times New Roman"/>
          <w:b/>
          <w:sz w:val="33"/>
          <w:szCs w:val="33"/>
        </w:rPr>
      </w:pPr>
      <w:bookmarkStart w:id="72" w:name="_Toc26496"/>
      <w:r>
        <w:rPr>
          <w:rFonts w:hint="default" w:ascii="Times New Roman" w:hAnsi="Times New Roman" w:eastAsia="方正楷体_GBK" w:cs="Times New Roman"/>
          <w:b/>
          <w:sz w:val="33"/>
          <w:szCs w:val="33"/>
        </w:rPr>
        <w:t>（四）预算绩效管理情况</w:t>
      </w:r>
      <w:bookmarkEnd w:id="72"/>
    </w:p>
    <w:p>
      <w:pPr>
        <w:pStyle w:val="2"/>
        <w:spacing w:before="93"/>
        <w:ind w:firstLine="660" w:firstLineChars="20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根据预算绩效管理要求，本单位在2022年度预算编制阶段，组织对留置基地运行维护费用1个项目开展了预算事前绩效评估，对1个项目编制了绩效目标，预算执行过程中，选取1个项目开展绩效监控，组织对1个项目开展绩效自评，绩效自评表详见第四部分附件。</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28"/>
          <w:rFonts w:ascii="黑体" w:hAnsi="黑体" w:eastAsia="黑体"/>
          <w:b w:val="0"/>
        </w:rPr>
      </w:pPr>
      <w:bookmarkStart w:id="73" w:name="_Toc15377225"/>
      <w:bookmarkStart w:id="74" w:name="_Toc15396613"/>
      <w:bookmarkStart w:id="75" w:name="_Toc21365"/>
      <w:r>
        <w:rPr>
          <w:rFonts w:hint="eastAsia" w:ascii="黑体" w:hAnsi="黑体" w:eastAsia="黑体"/>
          <w:sz w:val="44"/>
          <w:szCs w:val="44"/>
        </w:rPr>
        <w:t>名</w:t>
      </w:r>
      <w:r>
        <w:rPr>
          <w:rStyle w:val="28"/>
          <w:rFonts w:hint="eastAsia" w:ascii="黑体" w:hAnsi="黑体" w:eastAsia="黑体"/>
          <w:b w:val="0"/>
        </w:rPr>
        <w:t>词解释</w:t>
      </w:r>
      <w:bookmarkEnd w:id="73"/>
      <w:bookmarkEnd w:id="74"/>
      <w:bookmarkEnd w:id="75"/>
    </w:p>
    <w:p>
      <w:pPr>
        <w:spacing w:line="600" w:lineRule="exact"/>
        <w:jc w:val="left"/>
        <w:rPr>
          <w:rFonts w:ascii="宋体"/>
          <w:b/>
          <w:sz w:val="44"/>
          <w:szCs w:val="44"/>
        </w:rPr>
      </w:pPr>
    </w:p>
    <w:p>
      <w:pPr>
        <w:spacing w:line="576" w:lineRule="exact"/>
        <w:ind w:firstLine="640"/>
        <w:rPr>
          <w:rFonts w:eastAsia="方正仿宋_GBK"/>
          <w:sz w:val="33"/>
          <w:szCs w:val="33"/>
        </w:rPr>
      </w:pPr>
      <w:r>
        <w:rPr>
          <w:rFonts w:eastAsia="方正仿宋_GBK"/>
          <w:sz w:val="33"/>
          <w:szCs w:val="33"/>
        </w:rPr>
        <w:t>1</w:t>
      </w:r>
      <w:r>
        <w:rPr>
          <w:rFonts w:hint="eastAsia" w:eastAsia="方正仿宋_GBK"/>
          <w:sz w:val="33"/>
          <w:szCs w:val="33"/>
        </w:rPr>
        <w:t>．</w:t>
      </w:r>
      <w:r>
        <w:rPr>
          <w:rFonts w:eastAsia="方正仿宋_GBK"/>
          <w:sz w:val="33"/>
          <w:szCs w:val="33"/>
        </w:rPr>
        <w:t>财政拨款收入：指单位从同级财政部门取得的财政预算资金。</w:t>
      </w:r>
    </w:p>
    <w:p>
      <w:pPr>
        <w:spacing w:line="576" w:lineRule="exact"/>
        <w:ind w:firstLine="640"/>
        <w:rPr>
          <w:rFonts w:eastAsia="方正仿宋_GBK"/>
          <w:sz w:val="33"/>
          <w:szCs w:val="33"/>
        </w:rPr>
      </w:pPr>
      <w:r>
        <w:rPr>
          <w:rFonts w:eastAsia="方正仿宋_GBK"/>
          <w:sz w:val="33"/>
          <w:szCs w:val="33"/>
        </w:rPr>
        <w:t>2</w:t>
      </w:r>
      <w:r>
        <w:rPr>
          <w:rFonts w:hint="eastAsia" w:eastAsia="方正仿宋_GBK"/>
          <w:sz w:val="33"/>
          <w:szCs w:val="33"/>
        </w:rPr>
        <w:t>．</w:t>
      </w:r>
      <w:r>
        <w:rPr>
          <w:rFonts w:eastAsia="方正仿宋_GBK"/>
          <w:sz w:val="33"/>
          <w:szCs w:val="33"/>
        </w:rPr>
        <w:t>事业收入：指事业单位开展专业业务活动及辅助活动取得的收入。</w:t>
      </w:r>
    </w:p>
    <w:p>
      <w:pPr>
        <w:spacing w:line="576" w:lineRule="exact"/>
        <w:ind w:firstLine="640"/>
        <w:rPr>
          <w:rFonts w:eastAsia="方正仿宋_GBK"/>
          <w:sz w:val="33"/>
          <w:szCs w:val="33"/>
        </w:rPr>
      </w:pPr>
      <w:r>
        <w:rPr>
          <w:rFonts w:eastAsia="方正仿宋_GBK"/>
          <w:sz w:val="33"/>
          <w:szCs w:val="33"/>
        </w:rPr>
        <w:t>3</w:t>
      </w:r>
      <w:r>
        <w:rPr>
          <w:rFonts w:hint="eastAsia" w:eastAsia="方正仿宋_GBK"/>
          <w:sz w:val="33"/>
          <w:szCs w:val="33"/>
        </w:rPr>
        <w:t>．</w:t>
      </w:r>
      <w:r>
        <w:rPr>
          <w:rFonts w:eastAsia="方正仿宋_GBK"/>
          <w:sz w:val="33"/>
          <w:szCs w:val="33"/>
        </w:rPr>
        <w:t>经营收入：指事业单位在专业业务活动及其辅助活动之外开展非独立核算经营活动取得的收入</w:t>
      </w:r>
      <w:r>
        <w:rPr>
          <w:rFonts w:hint="eastAsia" w:eastAsia="方正仿宋_GBK"/>
          <w:sz w:val="33"/>
          <w:szCs w:val="33"/>
        </w:rPr>
        <w:t>。</w:t>
      </w:r>
    </w:p>
    <w:p>
      <w:pPr>
        <w:spacing w:line="576" w:lineRule="exact"/>
        <w:ind w:firstLine="640"/>
        <w:rPr>
          <w:rFonts w:eastAsia="方正仿宋_GBK"/>
          <w:sz w:val="33"/>
          <w:szCs w:val="33"/>
        </w:rPr>
      </w:pPr>
      <w:r>
        <w:rPr>
          <w:rFonts w:eastAsia="方正仿宋_GBK"/>
          <w:sz w:val="33"/>
          <w:szCs w:val="33"/>
        </w:rPr>
        <w:t>4</w:t>
      </w:r>
      <w:r>
        <w:rPr>
          <w:rFonts w:hint="eastAsia" w:eastAsia="方正仿宋_GBK"/>
          <w:sz w:val="33"/>
          <w:szCs w:val="33"/>
        </w:rPr>
        <w:t>．</w:t>
      </w:r>
      <w:r>
        <w:rPr>
          <w:rFonts w:eastAsia="方正仿宋_GBK"/>
          <w:sz w:val="33"/>
          <w:szCs w:val="33"/>
        </w:rPr>
        <w:t xml:space="preserve">其他收入：指单位取得的除上述收入以外的各项收入。主要是单位的存款利息收入等。 </w:t>
      </w:r>
    </w:p>
    <w:p>
      <w:pPr>
        <w:spacing w:line="576" w:lineRule="exact"/>
        <w:ind w:firstLine="640"/>
        <w:rPr>
          <w:rFonts w:eastAsia="方正仿宋_GBK"/>
          <w:sz w:val="33"/>
          <w:szCs w:val="33"/>
        </w:rPr>
      </w:pPr>
      <w:r>
        <w:rPr>
          <w:rFonts w:eastAsia="方正仿宋_GBK"/>
          <w:sz w:val="33"/>
          <w:szCs w:val="33"/>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spacing w:line="576" w:lineRule="exact"/>
        <w:ind w:firstLine="640"/>
        <w:rPr>
          <w:rFonts w:eastAsia="方正仿宋_GBK"/>
          <w:sz w:val="33"/>
          <w:szCs w:val="33"/>
        </w:rPr>
      </w:pPr>
      <w:r>
        <w:rPr>
          <w:rFonts w:eastAsia="方正仿宋_GBK"/>
          <w:sz w:val="33"/>
          <w:szCs w:val="33"/>
        </w:rPr>
        <w:t xml:space="preserve">6．年初结转和结余：指以前年度尚未完成、结转到本年按有关规定继续使用的资金。 </w:t>
      </w:r>
    </w:p>
    <w:p>
      <w:pPr>
        <w:spacing w:line="576" w:lineRule="exact"/>
        <w:ind w:firstLine="640"/>
        <w:rPr>
          <w:rFonts w:eastAsia="方正仿宋_GBK"/>
          <w:sz w:val="33"/>
          <w:szCs w:val="33"/>
        </w:rPr>
      </w:pPr>
      <w:r>
        <w:rPr>
          <w:rFonts w:eastAsia="方正仿宋_GBK"/>
          <w:sz w:val="33"/>
          <w:szCs w:val="33"/>
        </w:rPr>
        <w:t>7．结余分配：指事业单位按照事业单位会计制度的规定从非财政补助结余中分配的事业基金和职工福利基金等。</w:t>
      </w:r>
    </w:p>
    <w:p>
      <w:pPr>
        <w:spacing w:line="576" w:lineRule="exact"/>
        <w:ind w:firstLine="640"/>
        <w:rPr>
          <w:rFonts w:eastAsia="方正仿宋_GBK"/>
          <w:sz w:val="33"/>
          <w:szCs w:val="33"/>
        </w:rPr>
      </w:pPr>
      <w:r>
        <w:rPr>
          <w:rFonts w:eastAsia="方正仿宋_GBK"/>
          <w:sz w:val="33"/>
          <w:szCs w:val="33"/>
        </w:rPr>
        <w:t>8．年末结转和结余：指单位按有关规定结转到下年或以后年度继续使用的资金。</w:t>
      </w:r>
    </w:p>
    <w:p>
      <w:pPr>
        <w:spacing w:line="576" w:lineRule="exact"/>
        <w:ind w:firstLine="640"/>
        <w:rPr>
          <w:rFonts w:eastAsia="方正仿宋_GBK"/>
          <w:sz w:val="33"/>
          <w:szCs w:val="33"/>
        </w:rPr>
      </w:pPr>
      <w:r>
        <w:rPr>
          <w:rFonts w:eastAsia="方正仿宋_GBK"/>
          <w:sz w:val="33"/>
          <w:szCs w:val="33"/>
        </w:rPr>
        <w:t>9</w:t>
      </w:r>
      <w:r>
        <w:rPr>
          <w:rFonts w:hint="eastAsia" w:eastAsia="方正仿宋_GBK"/>
          <w:sz w:val="33"/>
          <w:szCs w:val="33"/>
        </w:rPr>
        <w:t>．</w:t>
      </w:r>
      <w:r>
        <w:rPr>
          <w:rFonts w:eastAsia="方正仿宋_GBK"/>
          <w:sz w:val="33"/>
          <w:szCs w:val="33"/>
        </w:rPr>
        <w:t xml:space="preserve">一般公共服务（类）纪检监察事务（款）其他纪检监察事务支出（项）：指其他纪检监察事务方面的支出。 </w:t>
      </w:r>
    </w:p>
    <w:p>
      <w:pPr>
        <w:spacing w:line="576" w:lineRule="exact"/>
        <w:ind w:firstLine="640"/>
        <w:rPr>
          <w:rFonts w:eastAsia="方正仿宋_GBK"/>
          <w:sz w:val="33"/>
          <w:szCs w:val="33"/>
        </w:rPr>
      </w:pPr>
      <w:r>
        <w:rPr>
          <w:rFonts w:eastAsia="方正仿宋_GBK"/>
          <w:sz w:val="33"/>
          <w:szCs w:val="33"/>
        </w:rPr>
        <w:t>10</w:t>
      </w:r>
      <w:r>
        <w:rPr>
          <w:rFonts w:hint="eastAsia" w:eastAsia="方正仿宋_GBK"/>
          <w:sz w:val="33"/>
          <w:szCs w:val="33"/>
        </w:rPr>
        <w:t>．</w:t>
      </w:r>
      <w:r>
        <w:rPr>
          <w:rFonts w:eastAsia="方正仿宋_GBK"/>
          <w:sz w:val="33"/>
          <w:szCs w:val="33"/>
        </w:rPr>
        <w:t>社会保障和就业（类）行政事业单位离退休（款）机关事业单位基本养老保险缴费支出（项）：指机关事业单位并轨后基本养老保险缴费支出。</w:t>
      </w:r>
    </w:p>
    <w:p>
      <w:pPr>
        <w:spacing w:line="576" w:lineRule="exact"/>
        <w:ind w:firstLine="640"/>
        <w:rPr>
          <w:rFonts w:eastAsia="方正仿宋_GBK"/>
          <w:sz w:val="33"/>
          <w:szCs w:val="33"/>
        </w:rPr>
      </w:pPr>
      <w:r>
        <w:rPr>
          <w:rFonts w:eastAsia="方正仿宋_GBK"/>
          <w:sz w:val="33"/>
          <w:szCs w:val="33"/>
        </w:rPr>
        <w:t>11</w:t>
      </w:r>
      <w:r>
        <w:rPr>
          <w:rFonts w:hint="eastAsia" w:eastAsia="方正仿宋_GBK"/>
          <w:sz w:val="33"/>
          <w:szCs w:val="33"/>
        </w:rPr>
        <w:t>．</w:t>
      </w:r>
      <w:r>
        <w:rPr>
          <w:rFonts w:eastAsia="方正仿宋_GBK"/>
          <w:sz w:val="33"/>
          <w:szCs w:val="33"/>
        </w:rPr>
        <w:t>一般公共服务（类）纪检监察事务（款）事业运行（项）：指事业单位的职工基本工资、津贴补贴等人员经费的发放，以及事业单位的基本支出。</w:t>
      </w:r>
    </w:p>
    <w:p>
      <w:pPr>
        <w:spacing w:line="576" w:lineRule="exact"/>
        <w:ind w:firstLine="640"/>
        <w:rPr>
          <w:rFonts w:eastAsia="方正仿宋_GBK"/>
          <w:sz w:val="33"/>
          <w:szCs w:val="33"/>
        </w:rPr>
      </w:pPr>
      <w:r>
        <w:rPr>
          <w:rFonts w:eastAsia="方正仿宋_GBK"/>
          <w:sz w:val="33"/>
          <w:szCs w:val="33"/>
        </w:rPr>
        <w:t>12．医疗卫生与计划生育（类）医疗保障支出（款）其他医疗保障支出（项）</w:t>
      </w:r>
      <w:r>
        <w:rPr>
          <w:rFonts w:eastAsia="方正仿宋_GBK"/>
          <w:b/>
          <w:sz w:val="33"/>
          <w:szCs w:val="33"/>
        </w:rPr>
        <w:t>:</w:t>
      </w:r>
      <w:r>
        <w:rPr>
          <w:rFonts w:eastAsia="方正仿宋_GBK"/>
          <w:sz w:val="33"/>
          <w:szCs w:val="33"/>
        </w:rPr>
        <w:t>指单位职工其他医疗保障支出。</w:t>
      </w:r>
    </w:p>
    <w:p>
      <w:pPr>
        <w:spacing w:line="576" w:lineRule="exact"/>
        <w:ind w:firstLine="640"/>
        <w:rPr>
          <w:rFonts w:eastAsia="方正仿宋_GBK"/>
          <w:sz w:val="33"/>
          <w:szCs w:val="33"/>
        </w:rPr>
      </w:pPr>
      <w:r>
        <w:rPr>
          <w:rFonts w:eastAsia="方正仿宋_GBK"/>
          <w:sz w:val="33"/>
          <w:szCs w:val="33"/>
        </w:rPr>
        <w:t>13．住房保障支出（类）住房改革支出（款）住房公积金（项）:指职工住房公积金支出。</w:t>
      </w:r>
    </w:p>
    <w:p>
      <w:pPr>
        <w:spacing w:line="576" w:lineRule="exact"/>
        <w:ind w:firstLine="640"/>
        <w:rPr>
          <w:rFonts w:eastAsia="方正仿宋_GBK"/>
          <w:sz w:val="33"/>
          <w:szCs w:val="33"/>
        </w:rPr>
      </w:pPr>
      <w:r>
        <w:rPr>
          <w:rFonts w:eastAsia="方正仿宋_GBK"/>
          <w:sz w:val="33"/>
          <w:szCs w:val="33"/>
        </w:rPr>
        <w:t>14． 一般公共服务（类）</w:t>
      </w:r>
      <w:r>
        <w:rPr>
          <w:rFonts w:hint="eastAsia" w:eastAsia="方正仿宋_GBK"/>
          <w:sz w:val="33"/>
          <w:szCs w:val="33"/>
        </w:rPr>
        <w:t>人力资源事务</w:t>
      </w:r>
      <w:r>
        <w:rPr>
          <w:rFonts w:eastAsia="方正仿宋_GBK"/>
          <w:sz w:val="33"/>
          <w:szCs w:val="33"/>
        </w:rPr>
        <w:t>（款）其</w:t>
      </w:r>
      <w:r>
        <w:rPr>
          <w:rFonts w:hint="eastAsia" w:eastAsia="方正仿宋_GBK"/>
          <w:sz w:val="33"/>
          <w:szCs w:val="33"/>
        </w:rPr>
        <w:t>人力资源事务</w:t>
      </w:r>
      <w:r>
        <w:rPr>
          <w:rFonts w:eastAsia="方正仿宋_GBK"/>
          <w:sz w:val="33"/>
          <w:szCs w:val="33"/>
        </w:rPr>
        <w:t>支出（项）：指</w:t>
      </w:r>
      <w:r>
        <w:rPr>
          <w:rFonts w:hint="eastAsia" w:eastAsia="方正仿宋_GBK"/>
          <w:sz w:val="33"/>
          <w:szCs w:val="33"/>
        </w:rPr>
        <w:t>高层次引进人才住房补贴支出。</w:t>
      </w:r>
    </w:p>
    <w:p>
      <w:pPr>
        <w:spacing w:line="576" w:lineRule="exact"/>
        <w:ind w:firstLine="640"/>
        <w:rPr>
          <w:rFonts w:eastAsia="方正仿宋_GBK"/>
          <w:sz w:val="33"/>
          <w:szCs w:val="33"/>
        </w:rPr>
      </w:pPr>
      <w:r>
        <w:rPr>
          <w:rFonts w:hint="eastAsia" w:eastAsia="方正仿宋_GBK"/>
          <w:sz w:val="33"/>
          <w:szCs w:val="33"/>
        </w:rPr>
        <w:t>15</w:t>
      </w:r>
      <w:r>
        <w:rPr>
          <w:rFonts w:eastAsia="方正仿宋_GBK"/>
          <w:sz w:val="33"/>
          <w:szCs w:val="33"/>
        </w:rPr>
        <w:t>．</w:t>
      </w:r>
      <w:r>
        <w:rPr>
          <w:rFonts w:hint="eastAsia" w:eastAsia="方正仿宋_GBK"/>
          <w:sz w:val="33"/>
          <w:szCs w:val="33"/>
        </w:rPr>
        <w:t>城乡社区支出（类）国有土地使用权出让收入安排的支出（款）土地开发（项）：指留置基地运行维护项目资金支出。</w:t>
      </w:r>
    </w:p>
    <w:p>
      <w:pPr>
        <w:spacing w:line="576" w:lineRule="exact"/>
        <w:ind w:firstLine="640"/>
        <w:rPr>
          <w:rFonts w:eastAsia="方正仿宋_GBK"/>
          <w:sz w:val="33"/>
          <w:szCs w:val="33"/>
        </w:rPr>
      </w:pPr>
      <w:r>
        <w:rPr>
          <w:rFonts w:eastAsia="方正仿宋_GBK"/>
          <w:sz w:val="33"/>
          <w:szCs w:val="33"/>
        </w:rPr>
        <w:t>16．基本支出：指为保障机构正常运转、完成日常工作任务而发生的人员支出和公用支出。</w:t>
      </w:r>
    </w:p>
    <w:p>
      <w:pPr>
        <w:spacing w:line="576" w:lineRule="exact"/>
        <w:ind w:firstLine="640"/>
        <w:rPr>
          <w:rFonts w:eastAsia="方正仿宋_GBK"/>
          <w:sz w:val="33"/>
          <w:szCs w:val="33"/>
        </w:rPr>
      </w:pPr>
      <w:r>
        <w:rPr>
          <w:rFonts w:eastAsia="方正仿宋_GBK"/>
          <w:sz w:val="33"/>
          <w:szCs w:val="33"/>
        </w:rPr>
        <w:t xml:space="preserve">17．项目支出：指在基本支出之外为完成特定行政任务和事业发展目标所发生的支出。 </w:t>
      </w:r>
    </w:p>
    <w:p>
      <w:pPr>
        <w:spacing w:line="576" w:lineRule="exact"/>
        <w:ind w:firstLine="640"/>
        <w:rPr>
          <w:rFonts w:eastAsia="方正仿宋_GBK"/>
          <w:sz w:val="33"/>
          <w:szCs w:val="33"/>
        </w:rPr>
      </w:pPr>
      <w:r>
        <w:rPr>
          <w:rFonts w:eastAsia="方正仿宋_GBK"/>
          <w:sz w:val="33"/>
          <w:szCs w:val="33"/>
        </w:rPr>
        <w:t>18．经营支出：指事业单位在专业业务活动及其辅助活动之外开展非独立核算经营活动发生的支出。</w:t>
      </w:r>
    </w:p>
    <w:p>
      <w:pPr>
        <w:spacing w:line="576" w:lineRule="exact"/>
        <w:ind w:firstLine="640"/>
        <w:rPr>
          <w:rFonts w:eastAsia="方正仿宋_GBK"/>
          <w:sz w:val="33"/>
          <w:szCs w:val="33"/>
        </w:rPr>
      </w:pPr>
      <w:r>
        <w:rPr>
          <w:rFonts w:eastAsia="方正仿宋_GBK"/>
          <w:sz w:val="33"/>
          <w:szCs w:val="33"/>
        </w:rPr>
        <w:t>19．“三公”经费：纳入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运行维护费反映单位按规定保留的公务用车燃料费、维修费、过路过桥费、保险费、安全奖励费用等支出；公务接待费反映单位按规定开支的各类公务接待（含外宾接待）费用。</w:t>
      </w:r>
    </w:p>
    <w:p>
      <w:pPr>
        <w:spacing w:line="600" w:lineRule="exact"/>
        <w:jc w:val="center"/>
        <w:outlineLvl w:val="0"/>
        <w:rPr>
          <w:rStyle w:val="28"/>
          <w:rFonts w:hint="eastAsia" w:ascii="黑体" w:hAnsi="黑体" w:eastAsia="黑体"/>
          <w:b w:val="0"/>
        </w:rPr>
      </w:pPr>
      <w:bookmarkStart w:id="76" w:name="_Toc15377226"/>
      <w:r>
        <w:rPr>
          <w:rFonts w:ascii="宋体"/>
          <w:b/>
          <w:sz w:val="44"/>
          <w:szCs w:val="44"/>
        </w:rPr>
        <w:br w:type="page"/>
      </w:r>
      <w:bookmarkStart w:id="77" w:name="_Toc15396614"/>
      <w:bookmarkStart w:id="78" w:name="_Toc73"/>
      <w:r>
        <w:rPr>
          <w:rFonts w:hint="eastAsia" w:ascii="黑体" w:hAnsi="黑体" w:eastAsia="黑体"/>
          <w:sz w:val="44"/>
          <w:szCs w:val="44"/>
        </w:rPr>
        <w:t>第</w:t>
      </w:r>
      <w:r>
        <w:rPr>
          <w:rStyle w:val="28"/>
          <w:rFonts w:hint="eastAsia" w:ascii="黑体" w:hAnsi="黑体" w:eastAsia="黑体"/>
          <w:b w:val="0"/>
        </w:rPr>
        <w:t>四部分 附件</w:t>
      </w:r>
      <w:bookmarkEnd w:id="77"/>
      <w:bookmarkEnd w:id="78"/>
    </w:p>
    <w:p>
      <w:pPr>
        <w:pStyle w:val="2"/>
        <w:rPr>
          <w:rFonts w:hint="default"/>
        </w:rPr>
      </w:pPr>
    </w:p>
    <w:p>
      <w:pPr>
        <w:spacing w:line="572" w:lineRule="exact"/>
        <w:ind w:left="1313" w:leftChars="154" w:hanging="990" w:hangingChars="300"/>
        <w:jc w:val="both"/>
        <w:outlineLvl w:val="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部门预算项目支出绩效自评表（2022年度）见附件3</w:t>
      </w:r>
      <w:bookmarkStart w:id="79" w:name="_Toc15396618"/>
    </w:p>
    <w:p>
      <w:pPr>
        <w:pStyle w:val="2"/>
        <w:rPr>
          <w:rFonts w:hint="default" w:ascii="Times New Roman" w:hAnsi="Times New Roman" w:eastAsia="方正仿宋_GBK" w:cs="Times New Roman"/>
          <w:sz w:val="33"/>
          <w:szCs w:val="33"/>
        </w:rPr>
      </w:pPr>
    </w:p>
    <w:p>
      <w:pPr>
        <w:pStyle w:val="3"/>
        <w:rPr>
          <w:rFonts w:hint="default" w:ascii="Times New Roman" w:hAnsi="Times New Roman" w:eastAsia="方正仿宋_GBK" w:cs="Times New Roman"/>
          <w:sz w:val="33"/>
          <w:szCs w:val="33"/>
        </w:rPr>
      </w:pPr>
    </w:p>
    <w:p>
      <w:pPr>
        <w:rPr>
          <w:rFonts w:hint="default" w:ascii="Times New Roman" w:hAnsi="Times New Roman" w:eastAsia="方正仿宋_GBK" w:cs="Times New Roman"/>
          <w:sz w:val="33"/>
          <w:szCs w:val="33"/>
        </w:rPr>
      </w:pPr>
    </w:p>
    <w:p>
      <w:pPr>
        <w:pStyle w:val="2"/>
        <w:rPr>
          <w:rFonts w:hint="default" w:ascii="Times New Roman" w:hAnsi="Times New Roman" w:eastAsia="方正仿宋_GBK" w:cs="Times New Roman"/>
          <w:sz w:val="33"/>
          <w:szCs w:val="33"/>
        </w:rPr>
      </w:pPr>
    </w:p>
    <w:p>
      <w:pPr>
        <w:pStyle w:val="3"/>
        <w:rPr>
          <w:rFonts w:hint="default" w:ascii="Times New Roman" w:hAnsi="Times New Roman" w:eastAsia="方正仿宋_GBK" w:cs="Times New Roman"/>
          <w:sz w:val="33"/>
          <w:szCs w:val="33"/>
        </w:rPr>
      </w:pPr>
    </w:p>
    <w:p>
      <w:pPr>
        <w:rPr>
          <w:rFonts w:hint="default" w:ascii="Times New Roman" w:hAnsi="Times New Roman" w:eastAsia="方正仿宋_GBK" w:cs="Times New Roman"/>
          <w:sz w:val="33"/>
          <w:szCs w:val="33"/>
        </w:rPr>
      </w:pPr>
    </w:p>
    <w:p>
      <w:pPr>
        <w:pStyle w:val="2"/>
        <w:rPr>
          <w:rFonts w:hint="default" w:ascii="Times New Roman" w:hAnsi="Times New Roman" w:eastAsia="方正仿宋_GBK" w:cs="Times New Roman"/>
          <w:sz w:val="33"/>
          <w:szCs w:val="33"/>
        </w:rPr>
      </w:pPr>
    </w:p>
    <w:p>
      <w:pPr>
        <w:pStyle w:val="3"/>
        <w:rPr>
          <w:rFonts w:hint="default" w:ascii="Times New Roman" w:hAnsi="Times New Roman" w:eastAsia="方正仿宋_GBK" w:cs="Times New Roman"/>
          <w:sz w:val="33"/>
          <w:szCs w:val="33"/>
        </w:rPr>
      </w:pPr>
    </w:p>
    <w:p>
      <w:pPr>
        <w:rPr>
          <w:rFonts w:hint="default" w:ascii="Times New Roman" w:hAnsi="Times New Roman" w:eastAsia="方正仿宋_GBK" w:cs="Times New Roman"/>
          <w:sz w:val="33"/>
          <w:szCs w:val="33"/>
        </w:rPr>
      </w:pPr>
    </w:p>
    <w:p>
      <w:pPr>
        <w:pStyle w:val="2"/>
        <w:rPr>
          <w:rFonts w:hint="default" w:ascii="Times New Roman" w:hAnsi="Times New Roman" w:eastAsia="方正仿宋_GBK" w:cs="Times New Roman"/>
          <w:sz w:val="33"/>
          <w:szCs w:val="33"/>
        </w:rPr>
      </w:pPr>
    </w:p>
    <w:p>
      <w:pPr>
        <w:pStyle w:val="3"/>
        <w:rPr>
          <w:rFonts w:hint="default" w:ascii="Times New Roman" w:hAnsi="Times New Roman" w:eastAsia="方正仿宋_GBK" w:cs="Times New Roman"/>
          <w:sz w:val="33"/>
          <w:szCs w:val="33"/>
        </w:rPr>
      </w:pPr>
    </w:p>
    <w:p>
      <w:pPr>
        <w:rPr>
          <w:rFonts w:hint="default" w:ascii="Times New Roman" w:hAnsi="Times New Roman" w:eastAsia="方正仿宋_GBK" w:cs="Times New Roman"/>
          <w:sz w:val="33"/>
          <w:szCs w:val="33"/>
        </w:rPr>
      </w:pPr>
    </w:p>
    <w:p>
      <w:pPr>
        <w:pStyle w:val="2"/>
        <w:rPr>
          <w:rFonts w:hint="default" w:ascii="Times New Roman" w:hAnsi="Times New Roman" w:eastAsia="方正仿宋_GBK" w:cs="Times New Roman"/>
          <w:sz w:val="33"/>
          <w:szCs w:val="33"/>
        </w:rPr>
      </w:pPr>
    </w:p>
    <w:p>
      <w:pPr>
        <w:pStyle w:val="3"/>
        <w:rPr>
          <w:rFonts w:hint="default" w:ascii="Times New Roman" w:hAnsi="Times New Roman" w:eastAsia="方正仿宋_GBK" w:cs="Times New Roman"/>
          <w:sz w:val="33"/>
          <w:szCs w:val="33"/>
        </w:rPr>
      </w:pPr>
    </w:p>
    <w:p>
      <w:pPr>
        <w:rPr>
          <w:rFonts w:hint="default" w:ascii="Times New Roman" w:hAnsi="Times New Roman" w:eastAsia="方正仿宋_GBK" w:cs="Times New Roman"/>
          <w:sz w:val="33"/>
          <w:szCs w:val="33"/>
        </w:rPr>
      </w:pPr>
    </w:p>
    <w:p>
      <w:pPr>
        <w:pStyle w:val="2"/>
        <w:rPr>
          <w:rFonts w:hint="default"/>
        </w:rPr>
      </w:pPr>
    </w:p>
    <w:p>
      <w:pPr>
        <w:pStyle w:val="2"/>
        <w:rPr>
          <w:rFonts w:hint="default" w:ascii="Times New Roman" w:hAnsi="Times New Roman" w:eastAsia="方正仿宋_GBK" w:cs="Times New Roman"/>
          <w:sz w:val="33"/>
          <w:szCs w:val="33"/>
        </w:rPr>
      </w:pPr>
    </w:p>
    <w:p>
      <w:pPr>
        <w:pStyle w:val="3"/>
        <w:rPr>
          <w:rFonts w:hint="default" w:ascii="Times New Roman" w:hAnsi="Times New Roman" w:eastAsia="方正仿宋_GBK" w:cs="Times New Roman"/>
          <w:sz w:val="33"/>
          <w:szCs w:val="33"/>
        </w:rPr>
      </w:pPr>
    </w:p>
    <w:p>
      <w:pPr>
        <w:rPr>
          <w:rFonts w:hint="default"/>
        </w:rPr>
      </w:pPr>
    </w:p>
    <w:p>
      <w:pPr>
        <w:spacing w:line="600" w:lineRule="exact"/>
        <w:jc w:val="center"/>
        <w:outlineLvl w:val="0"/>
        <w:rPr>
          <w:rFonts w:ascii="仿宋" w:hAnsi="仿宋" w:eastAsia="仿宋"/>
        </w:rPr>
      </w:pPr>
      <w:bookmarkStart w:id="80" w:name="_Toc11235"/>
      <w:r>
        <w:rPr>
          <w:rFonts w:hint="eastAsia" w:ascii="黑体" w:hAnsi="黑体" w:eastAsia="黑体"/>
          <w:sz w:val="44"/>
          <w:szCs w:val="44"/>
        </w:rPr>
        <w:t>第</w:t>
      </w:r>
      <w:r>
        <w:rPr>
          <w:rStyle w:val="28"/>
          <w:rFonts w:hint="eastAsia" w:ascii="黑体" w:hAnsi="黑体" w:eastAsia="黑体"/>
          <w:b w:val="0"/>
        </w:rPr>
        <w:t>五部分 附表</w:t>
      </w:r>
      <w:bookmarkEnd w:id="76"/>
      <w:bookmarkEnd w:id="79"/>
      <w:bookmarkEnd w:id="80"/>
      <w:bookmarkStart w:id="81" w:name="_Toc15396619"/>
    </w:p>
    <w:p>
      <w:pPr>
        <w:pStyle w:val="5"/>
        <w:rPr>
          <w:rFonts w:hint="eastAsia" w:ascii="方正仿宋_GBK" w:hAnsi="方正仿宋_GBK" w:eastAsia="方正仿宋_GBK" w:cs="方正仿宋_GBK"/>
          <w:sz w:val="33"/>
          <w:szCs w:val="33"/>
        </w:rPr>
      </w:pPr>
      <w:bookmarkStart w:id="82" w:name="_Toc17986"/>
      <w:r>
        <w:rPr>
          <w:rFonts w:hint="eastAsia" w:ascii="方正仿宋_GBK" w:hAnsi="方正仿宋_GBK" w:eastAsia="方正仿宋_GBK" w:cs="方正仿宋_GBK"/>
          <w:b w:val="0"/>
          <w:sz w:val="33"/>
          <w:szCs w:val="33"/>
        </w:rPr>
        <w:t>一、收</w:t>
      </w:r>
      <w:r>
        <w:rPr>
          <w:rStyle w:val="29"/>
          <w:rFonts w:hint="eastAsia" w:ascii="方正仿宋_GBK" w:hAnsi="方正仿宋_GBK" w:eastAsia="方正仿宋_GBK" w:cs="方正仿宋_GBK"/>
          <w:b w:val="0"/>
          <w:bCs w:val="0"/>
          <w:sz w:val="33"/>
          <w:szCs w:val="33"/>
        </w:rPr>
        <w:t>入支出决算总表</w:t>
      </w:r>
      <w:bookmarkEnd w:id="81"/>
      <w:bookmarkEnd w:id="82"/>
    </w:p>
    <w:p>
      <w:pPr>
        <w:pStyle w:val="5"/>
        <w:rPr>
          <w:rFonts w:hint="eastAsia" w:ascii="方正仿宋_GBK" w:hAnsi="方正仿宋_GBK" w:eastAsia="方正仿宋_GBK" w:cs="方正仿宋_GBK"/>
          <w:sz w:val="33"/>
          <w:szCs w:val="33"/>
        </w:rPr>
      </w:pPr>
      <w:bookmarkStart w:id="83" w:name="_Toc15396620"/>
      <w:bookmarkStart w:id="84" w:name="_Toc17740"/>
      <w:r>
        <w:rPr>
          <w:rFonts w:hint="eastAsia" w:ascii="方正仿宋_GBK" w:hAnsi="方正仿宋_GBK" w:eastAsia="方正仿宋_GBK" w:cs="方正仿宋_GBK"/>
          <w:b w:val="0"/>
          <w:sz w:val="33"/>
          <w:szCs w:val="33"/>
        </w:rPr>
        <w:t>二、收</w:t>
      </w:r>
      <w:r>
        <w:rPr>
          <w:rStyle w:val="29"/>
          <w:rFonts w:hint="eastAsia" w:ascii="方正仿宋_GBK" w:hAnsi="方正仿宋_GBK" w:eastAsia="方正仿宋_GBK" w:cs="方正仿宋_GBK"/>
          <w:b w:val="0"/>
          <w:bCs w:val="0"/>
          <w:sz w:val="33"/>
          <w:szCs w:val="33"/>
        </w:rPr>
        <w:t>入决算表</w:t>
      </w:r>
      <w:bookmarkEnd w:id="83"/>
      <w:bookmarkEnd w:id="84"/>
    </w:p>
    <w:p>
      <w:pPr>
        <w:pStyle w:val="5"/>
        <w:rPr>
          <w:rFonts w:hint="eastAsia" w:ascii="方正仿宋_GBK" w:hAnsi="方正仿宋_GBK" w:eastAsia="方正仿宋_GBK" w:cs="方正仿宋_GBK"/>
          <w:sz w:val="33"/>
          <w:szCs w:val="33"/>
        </w:rPr>
      </w:pPr>
      <w:bookmarkStart w:id="85" w:name="_Toc11433"/>
      <w:bookmarkStart w:id="86" w:name="_Toc15396621"/>
      <w:r>
        <w:rPr>
          <w:rStyle w:val="29"/>
          <w:rFonts w:hint="eastAsia" w:ascii="方正仿宋_GBK" w:hAnsi="方正仿宋_GBK" w:eastAsia="方正仿宋_GBK" w:cs="方正仿宋_GBK"/>
          <w:b w:val="0"/>
          <w:bCs w:val="0"/>
          <w:sz w:val="33"/>
          <w:szCs w:val="33"/>
        </w:rPr>
        <w:t>三、</w:t>
      </w:r>
      <w:r>
        <w:rPr>
          <w:rFonts w:hint="eastAsia" w:ascii="方正仿宋_GBK" w:hAnsi="方正仿宋_GBK" w:eastAsia="方正仿宋_GBK" w:cs="方正仿宋_GBK"/>
          <w:b w:val="0"/>
          <w:sz w:val="33"/>
          <w:szCs w:val="33"/>
        </w:rPr>
        <w:t>支</w:t>
      </w:r>
      <w:r>
        <w:rPr>
          <w:rStyle w:val="29"/>
          <w:rFonts w:hint="eastAsia" w:ascii="方正仿宋_GBK" w:hAnsi="方正仿宋_GBK" w:eastAsia="方正仿宋_GBK" w:cs="方正仿宋_GBK"/>
          <w:b w:val="0"/>
          <w:bCs w:val="0"/>
          <w:sz w:val="33"/>
          <w:szCs w:val="33"/>
        </w:rPr>
        <w:t>出决算表</w:t>
      </w:r>
      <w:bookmarkEnd w:id="85"/>
      <w:bookmarkEnd w:id="86"/>
    </w:p>
    <w:p>
      <w:pPr>
        <w:pStyle w:val="5"/>
        <w:rPr>
          <w:rFonts w:hint="eastAsia" w:ascii="方正仿宋_GBK" w:hAnsi="方正仿宋_GBK" w:eastAsia="方正仿宋_GBK" w:cs="方正仿宋_GBK"/>
          <w:b w:val="0"/>
          <w:sz w:val="33"/>
          <w:szCs w:val="33"/>
        </w:rPr>
      </w:pPr>
      <w:bookmarkStart w:id="87" w:name="_Toc7248"/>
      <w:bookmarkStart w:id="88" w:name="_Toc15396622"/>
      <w:r>
        <w:rPr>
          <w:rStyle w:val="29"/>
          <w:rFonts w:hint="eastAsia" w:ascii="方正仿宋_GBK" w:hAnsi="方正仿宋_GBK" w:eastAsia="方正仿宋_GBK" w:cs="方正仿宋_GBK"/>
          <w:b w:val="0"/>
          <w:bCs w:val="0"/>
          <w:sz w:val="33"/>
          <w:szCs w:val="33"/>
        </w:rPr>
        <w:t>四、</w:t>
      </w:r>
      <w:r>
        <w:rPr>
          <w:rFonts w:hint="eastAsia" w:ascii="方正仿宋_GBK" w:hAnsi="方正仿宋_GBK" w:eastAsia="方正仿宋_GBK" w:cs="方正仿宋_GBK"/>
          <w:b w:val="0"/>
          <w:sz w:val="33"/>
          <w:szCs w:val="33"/>
        </w:rPr>
        <w:t>财</w:t>
      </w:r>
      <w:r>
        <w:rPr>
          <w:rStyle w:val="29"/>
          <w:rFonts w:hint="eastAsia" w:ascii="方正仿宋_GBK" w:hAnsi="方正仿宋_GBK" w:eastAsia="方正仿宋_GBK" w:cs="方正仿宋_GBK"/>
          <w:b w:val="0"/>
          <w:bCs w:val="0"/>
          <w:sz w:val="33"/>
          <w:szCs w:val="33"/>
        </w:rPr>
        <w:t>政拨款收入支出决算总表</w:t>
      </w:r>
      <w:bookmarkEnd w:id="87"/>
      <w:bookmarkEnd w:id="88"/>
    </w:p>
    <w:p>
      <w:pPr>
        <w:pStyle w:val="5"/>
        <w:rPr>
          <w:rStyle w:val="29"/>
          <w:rFonts w:hint="eastAsia" w:ascii="方正仿宋_GBK" w:hAnsi="方正仿宋_GBK" w:eastAsia="方正仿宋_GBK" w:cs="方正仿宋_GBK"/>
          <w:b w:val="0"/>
          <w:bCs w:val="0"/>
          <w:sz w:val="33"/>
          <w:szCs w:val="33"/>
        </w:rPr>
      </w:pPr>
      <w:bookmarkStart w:id="89" w:name="_Toc15396623"/>
      <w:bookmarkStart w:id="90" w:name="_Toc8847"/>
      <w:r>
        <w:rPr>
          <w:rStyle w:val="29"/>
          <w:rFonts w:hint="eastAsia" w:ascii="方正仿宋_GBK" w:hAnsi="方正仿宋_GBK" w:eastAsia="方正仿宋_GBK" w:cs="方正仿宋_GBK"/>
          <w:b w:val="0"/>
          <w:bCs w:val="0"/>
          <w:sz w:val="33"/>
          <w:szCs w:val="33"/>
        </w:rPr>
        <w:t>五、</w:t>
      </w:r>
      <w:r>
        <w:rPr>
          <w:rFonts w:hint="eastAsia" w:ascii="方正仿宋_GBK" w:hAnsi="方正仿宋_GBK" w:eastAsia="方正仿宋_GBK" w:cs="方正仿宋_GBK"/>
          <w:b w:val="0"/>
          <w:sz w:val="33"/>
          <w:szCs w:val="33"/>
        </w:rPr>
        <w:t>财</w:t>
      </w:r>
      <w:r>
        <w:rPr>
          <w:rStyle w:val="29"/>
          <w:rFonts w:hint="eastAsia" w:ascii="方正仿宋_GBK" w:hAnsi="方正仿宋_GBK" w:eastAsia="方正仿宋_GBK" w:cs="方正仿宋_GBK"/>
          <w:b w:val="0"/>
          <w:bCs w:val="0"/>
          <w:sz w:val="33"/>
          <w:szCs w:val="33"/>
        </w:rPr>
        <w:t>政拨款支出决算明细表</w:t>
      </w:r>
      <w:bookmarkEnd w:id="89"/>
      <w:bookmarkEnd w:id="90"/>
      <w:bookmarkStart w:id="91" w:name="_Toc15396624"/>
    </w:p>
    <w:p>
      <w:pPr>
        <w:pStyle w:val="5"/>
        <w:rPr>
          <w:rFonts w:hint="eastAsia" w:ascii="方正仿宋_GBK" w:hAnsi="方正仿宋_GBK" w:eastAsia="方正仿宋_GBK" w:cs="方正仿宋_GBK"/>
          <w:sz w:val="33"/>
          <w:szCs w:val="33"/>
        </w:rPr>
      </w:pPr>
      <w:bookmarkStart w:id="92" w:name="_Toc31977"/>
      <w:r>
        <w:rPr>
          <w:rStyle w:val="29"/>
          <w:rFonts w:hint="eastAsia" w:ascii="方正仿宋_GBK" w:hAnsi="方正仿宋_GBK" w:eastAsia="方正仿宋_GBK" w:cs="方正仿宋_GBK"/>
          <w:b w:val="0"/>
          <w:bCs w:val="0"/>
          <w:sz w:val="33"/>
          <w:szCs w:val="33"/>
        </w:rPr>
        <w:t>六、</w:t>
      </w:r>
      <w:r>
        <w:rPr>
          <w:rFonts w:hint="eastAsia" w:ascii="方正仿宋_GBK" w:hAnsi="方正仿宋_GBK" w:eastAsia="方正仿宋_GBK" w:cs="方正仿宋_GBK"/>
          <w:b w:val="0"/>
          <w:sz w:val="33"/>
          <w:szCs w:val="33"/>
        </w:rPr>
        <w:t>一</w:t>
      </w:r>
      <w:r>
        <w:rPr>
          <w:rStyle w:val="29"/>
          <w:rFonts w:hint="eastAsia" w:ascii="方正仿宋_GBK" w:hAnsi="方正仿宋_GBK" w:eastAsia="方正仿宋_GBK" w:cs="方正仿宋_GBK"/>
          <w:b w:val="0"/>
          <w:bCs w:val="0"/>
          <w:sz w:val="33"/>
          <w:szCs w:val="33"/>
        </w:rPr>
        <w:t>般公共预算财政拨款支出决算表</w:t>
      </w:r>
      <w:bookmarkEnd w:id="91"/>
      <w:bookmarkEnd w:id="92"/>
    </w:p>
    <w:p>
      <w:pPr>
        <w:pStyle w:val="5"/>
        <w:rPr>
          <w:rFonts w:hint="eastAsia" w:ascii="方正仿宋_GBK" w:hAnsi="方正仿宋_GBK" w:eastAsia="方正仿宋_GBK" w:cs="方正仿宋_GBK"/>
          <w:sz w:val="33"/>
          <w:szCs w:val="33"/>
        </w:rPr>
      </w:pPr>
      <w:bookmarkStart w:id="93" w:name="_Toc15396625"/>
      <w:bookmarkStart w:id="94" w:name="_Toc8329"/>
      <w:r>
        <w:rPr>
          <w:rStyle w:val="29"/>
          <w:rFonts w:hint="eastAsia" w:ascii="方正仿宋_GBK" w:hAnsi="方正仿宋_GBK" w:eastAsia="方正仿宋_GBK" w:cs="方正仿宋_GBK"/>
          <w:b w:val="0"/>
          <w:bCs w:val="0"/>
          <w:sz w:val="33"/>
          <w:szCs w:val="33"/>
        </w:rPr>
        <w:t>七、</w:t>
      </w:r>
      <w:r>
        <w:rPr>
          <w:rFonts w:hint="eastAsia" w:ascii="方正仿宋_GBK" w:hAnsi="方正仿宋_GBK" w:eastAsia="方正仿宋_GBK" w:cs="方正仿宋_GBK"/>
          <w:b w:val="0"/>
          <w:sz w:val="33"/>
          <w:szCs w:val="33"/>
        </w:rPr>
        <w:t>一</w:t>
      </w:r>
      <w:r>
        <w:rPr>
          <w:rStyle w:val="29"/>
          <w:rFonts w:hint="eastAsia" w:ascii="方正仿宋_GBK" w:hAnsi="方正仿宋_GBK" w:eastAsia="方正仿宋_GBK" w:cs="方正仿宋_GBK"/>
          <w:b w:val="0"/>
          <w:bCs w:val="0"/>
          <w:sz w:val="33"/>
          <w:szCs w:val="33"/>
        </w:rPr>
        <w:t>般公共预算财政拨款支出决算明细表</w:t>
      </w:r>
      <w:bookmarkEnd w:id="93"/>
      <w:bookmarkEnd w:id="94"/>
    </w:p>
    <w:p>
      <w:pPr>
        <w:pStyle w:val="5"/>
        <w:rPr>
          <w:rFonts w:hint="eastAsia" w:ascii="方正仿宋_GBK" w:hAnsi="方正仿宋_GBK" w:eastAsia="方正仿宋_GBK" w:cs="方正仿宋_GBK"/>
          <w:sz w:val="33"/>
          <w:szCs w:val="33"/>
        </w:rPr>
      </w:pPr>
      <w:bookmarkStart w:id="95" w:name="_Toc15396626"/>
      <w:bookmarkStart w:id="96" w:name="_Toc28622"/>
      <w:r>
        <w:rPr>
          <w:rStyle w:val="29"/>
          <w:rFonts w:hint="eastAsia" w:ascii="方正仿宋_GBK" w:hAnsi="方正仿宋_GBK" w:eastAsia="方正仿宋_GBK" w:cs="方正仿宋_GBK"/>
          <w:b w:val="0"/>
          <w:bCs w:val="0"/>
          <w:sz w:val="33"/>
          <w:szCs w:val="33"/>
        </w:rPr>
        <w:t>八、</w:t>
      </w:r>
      <w:r>
        <w:rPr>
          <w:rFonts w:hint="eastAsia" w:ascii="方正仿宋_GBK" w:hAnsi="方正仿宋_GBK" w:eastAsia="方正仿宋_GBK" w:cs="方正仿宋_GBK"/>
          <w:b w:val="0"/>
          <w:sz w:val="33"/>
          <w:szCs w:val="33"/>
        </w:rPr>
        <w:t>一</w:t>
      </w:r>
      <w:r>
        <w:rPr>
          <w:rStyle w:val="29"/>
          <w:rFonts w:hint="eastAsia" w:ascii="方正仿宋_GBK" w:hAnsi="方正仿宋_GBK" w:eastAsia="方正仿宋_GBK" w:cs="方正仿宋_GBK"/>
          <w:b w:val="0"/>
          <w:bCs w:val="0"/>
          <w:sz w:val="33"/>
          <w:szCs w:val="33"/>
        </w:rPr>
        <w:t>般公共预算财政拨款基本支出决算表</w:t>
      </w:r>
      <w:bookmarkEnd w:id="95"/>
      <w:bookmarkEnd w:id="96"/>
    </w:p>
    <w:p>
      <w:pPr>
        <w:pStyle w:val="5"/>
        <w:rPr>
          <w:rFonts w:hint="eastAsia" w:ascii="方正仿宋_GBK" w:hAnsi="方正仿宋_GBK" w:eastAsia="方正仿宋_GBK" w:cs="方正仿宋_GBK"/>
          <w:sz w:val="33"/>
          <w:szCs w:val="33"/>
        </w:rPr>
      </w:pPr>
      <w:bookmarkStart w:id="97" w:name="_Toc15396627"/>
      <w:bookmarkStart w:id="98" w:name="_Toc7429"/>
      <w:r>
        <w:rPr>
          <w:rStyle w:val="29"/>
          <w:rFonts w:hint="eastAsia" w:ascii="方正仿宋_GBK" w:hAnsi="方正仿宋_GBK" w:eastAsia="方正仿宋_GBK" w:cs="方正仿宋_GBK"/>
          <w:b w:val="0"/>
          <w:bCs w:val="0"/>
          <w:sz w:val="33"/>
          <w:szCs w:val="33"/>
        </w:rPr>
        <w:t>九、</w:t>
      </w:r>
      <w:r>
        <w:rPr>
          <w:rFonts w:hint="eastAsia" w:ascii="方正仿宋_GBK" w:hAnsi="方正仿宋_GBK" w:eastAsia="方正仿宋_GBK" w:cs="方正仿宋_GBK"/>
          <w:b w:val="0"/>
          <w:sz w:val="33"/>
          <w:szCs w:val="33"/>
        </w:rPr>
        <w:t>一</w:t>
      </w:r>
      <w:r>
        <w:rPr>
          <w:rStyle w:val="29"/>
          <w:rFonts w:hint="eastAsia" w:ascii="方正仿宋_GBK" w:hAnsi="方正仿宋_GBK" w:eastAsia="方正仿宋_GBK" w:cs="方正仿宋_GBK"/>
          <w:b w:val="0"/>
          <w:bCs w:val="0"/>
          <w:sz w:val="33"/>
          <w:szCs w:val="33"/>
        </w:rPr>
        <w:t>般公共预算财政拨款项目支出决算表</w:t>
      </w:r>
      <w:bookmarkEnd w:id="97"/>
      <w:bookmarkEnd w:id="98"/>
    </w:p>
    <w:p>
      <w:pPr>
        <w:pStyle w:val="5"/>
        <w:rPr>
          <w:rFonts w:hint="eastAsia" w:ascii="方正仿宋_GBK" w:hAnsi="方正仿宋_GBK" w:eastAsia="方正仿宋_GBK" w:cs="方正仿宋_GBK"/>
          <w:sz w:val="33"/>
          <w:szCs w:val="33"/>
        </w:rPr>
      </w:pPr>
      <w:bookmarkStart w:id="99" w:name="_Toc15396628"/>
      <w:bookmarkStart w:id="100" w:name="_Toc10241"/>
      <w:r>
        <w:rPr>
          <w:rStyle w:val="29"/>
          <w:rFonts w:hint="eastAsia" w:ascii="方正仿宋_GBK" w:hAnsi="方正仿宋_GBK" w:eastAsia="方正仿宋_GBK" w:cs="方正仿宋_GBK"/>
          <w:b w:val="0"/>
          <w:bCs w:val="0"/>
          <w:sz w:val="33"/>
          <w:szCs w:val="33"/>
        </w:rPr>
        <w:t>十、</w:t>
      </w:r>
      <w:bookmarkEnd w:id="99"/>
      <w:r>
        <w:rPr>
          <w:rFonts w:hint="eastAsia" w:ascii="方正仿宋_GBK" w:hAnsi="方正仿宋_GBK" w:eastAsia="方正仿宋_GBK" w:cs="方正仿宋_GBK"/>
          <w:b w:val="0"/>
          <w:sz w:val="33"/>
          <w:szCs w:val="33"/>
        </w:rPr>
        <w:t>政</w:t>
      </w:r>
      <w:r>
        <w:rPr>
          <w:rStyle w:val="29"/>
          <w:rFonts w:hint="eastAsia" w:ascii="方正仿宋_GBK" w:hAnsi="方正仿宋_GBK" w:eastAsia="方正仿宋_GBK" w:cs="方正仿宋_GBK"/>
          <w:b w:val="0"/>
          <w:bCs w:val="0"/>
          <w:sz w:val="33"/>
          <w:szCs w:val="33"/>
        </w:rPr>
        <w:t>府性基金预算财政拨款收入支出决算表</w:t>
      </w:r>
      <w:bookmarkEnd w:id="100"/>
    </w:p>
    <w:p>
      <w:pPr>
        <w:pStyle w:val="5"/>
        <w:rPr>
          <w:rFonts w:hint="eastAsia" w:ascii="方正仿宋_GBK" w:hAnsi="方正仿宋_GBK" w:eastAsia="方正仿宋_GBK" w:cs="方正仿宋_GBK"/>
          <w:sz w:val="33"/>
          <w:szCs w:val="33"/>
        </w:rPr>
      </w:pPr>
      <w:bookmarkStart w:id="101" w:name="_Toc15396629"/>
      <w:bookmarkStart w:id="102" w:name="_Toc25627"/>
      <w:r>
        <w:rPr>
          <w:rStyle w:val="29"/>
          <w:rFonts w:hint="eastAsia" w:ascii="方正仿宋_GBK" w:hAnsi="方正仿宋_GBK" w:eastAsia="方正仿宋_GBK" w:cs="方正仿宋_GBK"/>
          <w:b w:val="0"/>
          <w:bCs w:val="0"/>
          <w:sz w:val="33"/>
          <w:szCs w:val="33"/>
        </w:rPr>
        <w:t>十一、</w:t>
      </w:r>
      <w:bookmarkEnd w:id="101"/>
      <w:r>
        <w:rPr>
          <w:rFonts w:hint="eastAsia" w:ascii="方正仿宋_GBK" w:hAnsi="方正仿宋_GBK" w:eastAsia="方正仿宋_GBK" w:cs="方正仿宋_GBK"/>
          <w:b w:val="0"/>
          <w:sz w:val="33"/>
          <w:szCs w:val="33"/>
        </w:rPr>
        <w:t>国</w:t>
      </w:r>
      <w:r>
        <w:rPr>
          <w:rStyle w:val="29"/>
          <w:rFonts w:hint="eastAsia" w:ascii="方正仿宋_GBK" w:hAnsi="方正仿宋_GBK" w:eastAsia="方正仿宋_GBK" w:cs="方正仿宋_GBK"/>
          <w:b w:val="0"/>
          <w:bCs w:val="0"/>
          <w:sz w:val="33"/>
          <w:szCs w:val="33"/>
        </w:rPr>
        <w:t>有资本经营预算财政拨款收入支出决算表</w:t>
      </w:r>
      <w:bookmarkEnd w:id="102"/>
    </w:p>
    <w:p>
      <w:pPr>
        <w:pStyle w:val="5"/>
        <w:rPr>
          <w:rFonts w:hint="eastAsia" w:ascii="方正仿宋_GBK" w:hAnsi="方正仿宋_GBK" w:eastAsia="方正仿宋_GBK" w:cs="方正仿宋_GBK"/>
          <w:sz w:val="33"/>
          <w:szCs w:val="33"/>
        </w:rPr>
      </w:pPr>
      <w:bookmarkStart w:id="103" w:name="_Toc15396630"/>
      <w:bookmarkStart w:id="104" w:name="_Toc6608"/>
      <w:r>
        <w:rPr>
          <w:rStyle w:val="29"/>
          <w:rFonts w:hint="eastAsia" w:ascii="方正仿宋_GBK" w:hAnsi="方正仿宋_GBK" w:eastAsia="方正仿宋_GBK" w:cs="方正仿宋_GBK"/>
          <w:b w:val="0"/>
          <w:bCs w:val="0"/>
          <w:sz w:val="33"/>
          <w:szCs w:val="33"/>
        </w:rPr>
        <w:t>十二、</w:t>
      </w:r>
      <w:bookmarkEnd w:id="103"/>
      <w:r>
        <w:rPr>
          <w:rStyle w:val="29"/>
          <w:rFonts w:hint="eastAsia" w:ascii="方正仿宋_GBK" w:hAnsi="方正仿宋_GBK" w:eastAsia="方正仿宋_GBK" w:cs="方正仿宋_GBK"/>
          <w:b w:val="0"/>
          <w:bCs w:val="0"/>
          <w:sz w:val="33"/>
          <w:szCs w:val="33"/>
        </w:rPr>
        <w:t>国有资本经营预算财政拨款支出决算表</w:t>
      </w:r>
      <w:bookmarkEnd w:id="104"/>
    </w:p>
    <w:p>
      <w:pPr>
        <w:pStyle w:val="5"/>
        <w:rPr>
          <w:rFonts w:hint="eastAsia" w:ascii="方正仿宋_GBK" w:hAnsi="方正仿宋_GBK" w:eastAsia="方正仿宋_GBK" w:cs="方正仿宋_GBK"/>
          <w:sz w:val="33"/>
          <w:szCs w:val="33"/>
        </w:rPr>
      </w:pPr>
      <w:bookmarkStart w:id="105" w:name="_Toc15396631"/>
      <w:bookmarkStart w:id="106" w:name="_Toc30485"/>
      <w:r>
        <w:rPr>
          <w:rStyle w:val="29"/>
          <w:rFonts w:hint="eastAsia" w:ascii="方正仿宋_GBK" w:hAnsi="方正仿宋_GBK" w:eastAsia="方正仿宋_GBK" w:cs="方正仿宋_GBK"/>
          <w:b w:val="0"/>
          <w:bCs w:val="0"/>
          <w:sz w:val="33"/>
          <w:szCs w:val="33"/>
        </w:rPr>
        <w:t>十三、</w:t>
      </w:r>
      <w:bookmarkEnd w:id="105"/>
      <w:r>
        <w:rPr>
          <w:rStyle w:val="29"/>
          <w:rFonts w:hint="eastAsia" w:ascii="方正仿宋_GBK" w:hAnsi="方正仿宋_GBK" w:eastAsia="方正仿宋_GBK" w:cs="方正仿宋_GBK"/>
          <w:b w:val="0"/>
          <w:bCs w:val="0"/>
          <w:sz w:val="33"/>
          <w:szCs w:val="33"/>
        </w:rPr>
        <w:t>财政拨款“三公”经费支出决算表</w:t>
      </w:r>
      <w:bookmarkEnd w:id="106"/>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1E4ABD-5DD4-451A-9FF7-FF11026A5E5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2" w:fontKey="{D6571FA2-6F39-4B53-AE53-DB199CCCD592}"/>
  </w:font>
  <w:font w:name="仿宋_GB2312">
    <w:panose1 w:val="02010609030101010101"/>
    <w:charset w:val="86"/>
    <w:family w:val="modern"/>
    <w:pitch w:val="default"/>
    <w:sig w:usb0="00000001" w:usb1="080E0000" w:usb2="00000000" w:usb3="00000000" w:csb0="00040000" w:csb1="00000000"/>
    <w:embedRegular r:id="rId3" w:fontKey="{B999B1FE-C81B-4F0B-9422-868CF84BDD35}"/>
  </w:font>
  <w:font w:name="仿宋">
    <w:panose1 w:val="02010609060101010101"/>
    <w:charset w:val="86"/>
    <w:family w:val="modern"/>
    <w:pitch w:val="default"/>
    <w:sig w:usb0="800002BF" w:usb1="38CF7CFA" w:usb2="00000016" w:usb3="00000000" w:csb0="00040001" w:csb1="00000000"/>
    <w:embedRegular r:id="rId4" w:fontKey="{8A410F69-188F-4897-BB19-6E280C8015D0}"/>
  </w:font>
  <w:font w:name="方正小标宋简体">
    <w:panose1 w:val="02000000000000000000"/>
    <w:charset w:val="86"/>
    <w:family w:val="script"/>
    <w:pitch w:val="default"/>
    <w:sig w:usb0="00000001" w:usb1="08000000" w:usb2="00000000" w:usb3="00000000" w:csb0="00040000" w:csb1="00000000"/>
    <w:embedRegular r:id="rId5" w:fontKey="{DE8DCD1A-6350-4E39-ABBB-2264E1DA3C3E}"/>
  </w:font>
  <w:font w:name="方正仿宋_GBK">
    <w:panose1 w:val="02000000000000000000"/>
    <w:charset w:val="86"/>
    <w:family w:val="script"/>
    <w:pitch w:val="default"/>
    <w:sig w:usb0="A00002BF" w:usb1="38CF7CFA" w:usb2="00082016" w:usb3="00000000" w:csb0="00040001" w:csb1="00000000"/>
    <w:embedRegular r:id="rId6" w:fontKey="{342CC80C-8A2E-49EC-87F4-A6D6A2586F26}"/>
  </w:font>
  <w:font w:name="方正楷体_GBK">
    <w:panose1 w:val="02000000000000000000"/>
    <w:charset w:val="86"/>
    <w:family w:val="auto"/>
    <w:pitch w:val="default"/>
    <w:sig w:usb0="800002BF" w:usb1="38CF7CFA" w:usb2="00000016" w:usb3="00000000" w:csb0="00040000" w:csb1="00000000"/>
    <w:embedRegular r:id="rId7" w:fontKey="{6832F955-4011-4CCD-8104-D620A05A4641}"/>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1"/>
          <w:jc w:val="center"/>
        </w:pPr>
        <w:r>
          <w:fldChar w:fldCharType="begin"/>
        </w:r>
        <w:r>
          <w:instrText xml:space="preserve">PAGE   \* MERGEFORMAT</w:instrText>
        </w:r>
        <w:r>
          <w:fldChar w:fldCharType="separate"/>
        </w:r>
        <w:r>
          <w:rPr>
            <w:lang w:val="zh-CN"/>
          </w:rPr>
          <w:t>14</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MzNDU0NDg2N2E1NjdiOTFjZTdmNTg3ZDc2YzE2NTEifQ=="/>
  </w:docVars>
  <w:rsids>
    <w:rsidRoot w:val="00F1361C"/>
    <w:rsid w:val="000222C6"/>
    <w:rsid w:val="0002549F"/>
    <w:rsid w:val="000468DB"/>
    <w:rsid w:val="0006487A"/>
    <w:rsid w:val="00065F8F"/>
    <w:rsid w:val="00070A43"/>
    <w:rsid w:val="000736DE"/>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D30"/>
    <w:rsid w:val="00114E9B"/>
    <w:rsid w:val="00123991"/>
    <w:rsid w:val="00142216"/>
    <w:rsid w:val="00144D6A"/>
    <w:rsid w:val="0014729F"/>
    <w:rsid w:val="00157BAB"/>
    <w:rsid w:val="001654D1"/>
    <w:rsid w:val="00166E95"/>
    <w:rsid w:val="00174518"/>
    <w:rsid w:val="0018106D"/>
    <w:rsid w:val="001877A7"/>
    <w:rsid w:val="00191536"/>
    <w:rsid w:val="00196687"/>
    <w:rsid w:val="00197186"/>
    <w:rsid w:val="001C0962"/>
    <w:rsid w:val="001D7531"/>
    <w:rsid w:val="001E737D"/>
    <w:rsid w:val="001F0592"/>
    <w:rsid w:val="001F7506"/>
    <w:rsid w:val="002006CD"/>
    <w:rsid w:val="00202B36"/>
    <w:rsid w:val="00204B7A"/>
    <w:rsid w:val="00204CDE"/>
    <w:rsid w:val="0021101A"/>
    <w:rsid w:val="00220536"/>
    <w:rsid w:val="00233E28"/>
    <w:rsid w:val="00235629"/>
    <w:rsid w:val="00260950"/>
    <w:rsid w:val="00260C38"/>
    <w:rsid w:val="00260C9E"/>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64B39"/>
    <w:rsid w:val="00471401"/>
    <w:rsid w:val="00473F31"/>
    <w:rsid w:val="0048263A"/>
    <w:rsid w:val="00485945"/>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A049A"/>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60DF"/>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41D5"/>
    <w:rsid w:val="0097099F"/>
    <w:rsid w:val="00971997"/>
    <w:rsid w:val="00971FFC"/>
    <w:rsid w:val="00980214"/>
    <w:rsid w:val="0098660A"/>
    <w:rsid w:val="009931C3"/>
    <w:rsid w:val="009979A7"/>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5860"/>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158EC"/>
    <w:rsid w:val="00C33E72"/>
    <w:rsid w:val="00C354B2"/>
    <w:rsid w:val="00C35554"/>
    <w:rsid w:val="00C42709"/>
    <w:rsid w:val="00C533CC"/>
    <w:rsid w:val="00C5751C"/>
    <w:rsid w:val="00C61BFC"/>
    <w:rsid w:val="00C62B85"/>
    <w:rsid w:val="00C65438"/>
    <w:rsid w:val="00C7524A"/>
    <w:rsid w:val="00C87FD8"/>
    <w:rsid w:val="00C91381"/>
    <w:rsid w:val="00C91CBB"/>
    <w:rsid w:val="00CB4E70"/>
    <w:rsid w:val="00CC09B6"/>
    <w:rsid w:val="00CC666F"/>
    <w:rsid w:val="00CD1E3F"/>
    <w:rsid w:val="00CE44F6"/>
    <w:rsid w:val="00CE49DA"/>
    <w:rsid w:val="00CE7B61"/>
    <w:rsid w:val="00D00095"/>
    <w:rsid w:val="00D0027F"/>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41557"/>
    <w:rsid w:val="053A62B5"/>
    <w:rsid w:val="067A22AA"/>
    <w:rsid w:val="0A2032A3"/>
    <w:rsid w:val="0B8A37D8"/>
    <w:rsid w:val="10C055FF"/>
    <w:rsid w:val="118107EC"/>
    <w:rsid w:val="11DD6519"/>
    <w:rsid w:val="16BB723D"/>
    <w:rsid w:val="18015F3F"/>
    <w:rsid w:val="19FC4585"/>
    <w:rsid w:val="1A8C1BF1"/>
    <w:rsid w:val="1BE8440E"/>
    <w:rsid w:val="1D155CEE"/>
    <w:rsid w:val="1D290B08"/>
    <w:rsid w:val="1DF455AC"/>
    <w:rsid w:val="20F57F95"/>
    <w:rsid w:val="21B05FEC"/>
    <w:rsid w:val="240371BF"/>
    <w:rsid w:val="25711CC6"/>
    <w:rsid w:val="25C741E6"/>
    <w:rsid w:val="27842671"/>
    <w:rsid w:val="28027DBB"/>
    <w:rsid w:val="288C1765"/>
    <w:rsid w:val="29FD04D3"/>
    <w:rsid w:val="2ABE7A3E"/>
    <w:rsid w:val="2CA234A8"/>
    <w:rsid w:val="2EFA178C"/>
    <w:rsid w:val="30B46D73"/>
    <w:rsid w:val="319F7F4E"/>
    <w:rsid w:val="338726CD"/>
    <w:rsid w:val="383D272C"/>
    <w:rsid w:val="39AE70AB"/>
    <w:rsid w:val="3C0C0783"/>
    <w:rsid w:val="3F9F3A96"/>
    <w:rsid w:val="43AC62DA"/>
    <w:rsid w:val="48BF60AB"/>
    <w:rsid w:val="493C27E9"/>
    <w:rsid w:val="496F39ED"/>
    <w:rsid w:val="49FF41D3"/>
    <w:rsid w:val="4BE068DB"/>
    <w:rsid w:val="4BF6002B"/>
    <w:rsid w:val="4E671CF7"/>
    <w:rsid w:val="4EAD6BF0"/>
    <w:rsid w:val="4ECE2238"/>
    <w:rsid w:val="510A745C"/>
    <w:rsid w:val="51DB4B86"/>
    <w:rsid w:val="537857B9"/>
    <w:rsid w:val="55333C3E"/>
    <w:rsid w:val="560E43FD"/>
    <w:rsid w:val="56725E38"/>
    <w:rsid w:val="58E64C7B"/>
    <w:rsid w:val="64CA39A1"/>
    <w:rsid w:val="69630ADE"/>
    <w:rsid w:val="6C0B4DCE"/>
    <w:rsid w:val="6C4A05C8"/>
    <w:rsid w:val="6D3B1A89"/>
    <w:rsid w:val="71BF4EC2"/>
    <w:rsid w:val="72734D90"/>
    <w:rsid w:val="7412278C"/>
    <w:rsid w:val="77577896"/>
    <w:rsid w:val="78807970"/>
    <w:rsid w:val="79E7B28D"/>
    <w:rsid w:val="7A360D9A"/>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5"/>
    <w:qFormat/>
    <w:uiPriority w:val="99"/>
    <w:pPr>
      <w:spacing w:beforeLines="30"/>
    </w:pPr>
    <w:rPr>
      <w:rFonts w:ascii="仿宋_GB2312" w:eastAsia="仿宋_GB2312"/>
      <w:kern w:val="0"/>
      <w:sz w:val="30"/>
    </w:rPr>
  </w:style>
  <w:style w:type="paragraph" w:styleId="3">
    <w:name w:val="index 8"/>
    <w:basedOn w:val="1"/>
    <w:next w:val="1"/>
    <w:qFormat/>
    <w:uiPriority w:val="0"/>
    <w:pPr>
      <w:ind w:left="2940"/>
    </w:pPr>
  </w:style>
  <w:style w:type="paragraph" w:styleId="7">
    <w:name w:val="Body Text Indent"/>
    <w:basedOn w:val="1"/>
    <w:next w:val="8"/>
    <w:qFormat/>
    <w:uiPriority w:val="0"/>
    <w:pPr>
      <w:ind w:left="420" w:leftChars="200"/>
    </w:pPr>
  </w:style>
  <w:style w:type="paragraph" w:styleId="8">
    <w:name w:val="Body Text First Indent 2"/>
    <w:basedOn w:val="7"/>
    <w:next w:val="1"/>
    <w:qFormat/>
    <w:uiPriority w:val="0"/>
    <w:pPr>
      <w:ind w:firstLine="420" w:firstLineChars="200"/>
    </w:p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1"/>
    <w:semiHidden/>
    <w:unhideWhenUsed/>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footnote text"/>
    <w:basedOn w:val="1"/>
    <w:next w:val="8"/>
    <w:qFormat/>
    <w:uiPriority w:val="0"/>
    <w:pPr>
      <w:snapToGrid w:val="0"/>
      <w:jc w:val="left"/>
    </w:pPr>
    <w:rPr>
      <w:sz w:val="18"/>
      <w:szCs w:val="1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2"/>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11"/>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4"/>
    <w:qFormat/>
    <w:uiPriority w:val="9"/>
    <w:rPr>
      <w:rFonts w:ascii="Times New Roman" w:hAnsi="Times New Roman"/>
      <w:b/>
      <w:bCs/>
      <w:kern w:val="44"/>
      <w:sz w:val="44"/>
      <w:szCs w:val="44"/>
    </w:rPr>
  </w:style>
  <w:style w:type="character" w:customStyle="1" w:styleId="29">
    <w:name w:val="标题 2 Char"/>
    <w:basedOn w:val="17"/>
    <w:link w:val="5"/>
    <w:qFormat/>
    <w:uiPriority w:val="9"/>
    <w:rPr>
      <w:rFonts w:asciiTheme="majorHAnsi" w:hAnsiTheme="majorHAnsi" w:eastAsiaTheme="majorEastAsia" w:cstheme="majorBidi"/>
      <w:b/>
      <w:bCs/>
      <w:kern w:val="2"/>
      <w:sz w:val="32"/>
      <w:szCs w:val="32"/>
    </w:rPr>
  </w:style>
  <w:style w:type="paragraph" w:customStyle="1" w:styleId="30">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框文本 Char"/>
    <w:basedOn w:val="17"/>
    <w:link w:val="10"/>
    <w:semiHidden/>
    <w:qFormat/>
    <w:uiPriority w:val="99"/>
    <w:rPr>
      <w:rFonts w:ascii="Times New Roman" w:hAnsi="Times New Roman"/>
      <w:kern w:val="2"/>
      <w:sz w:val="18"/>
      <w:szCs w:val="18"/>
    </w:rPr>
  </w:style>
  <w:style w:type="character" w:customStyle="1" w:styleId="32">
    <w:name w:val="标题 3 Char"/>
    <w:basedOn w:val="17"/>
    <w:link w:val="6"/>
    <w:qFormat/>
    <w:uiPriority w:val="9"/>
    <w:rPr>
      <w:rFonts w:ascii="Times New Roman" w:hAnsi="Times New Roman"/>
      <w:b/>
      <w:bCs/>
      <w:kern w:val="2"/>
      <w:sz w:val="32"/>
      <w:szCs w:val="32"/>
    </w:rPr>
  </w:style>
  <w:style w:type="paragraph" w:customStyle="1" w:styleId="33">
    <w:name w:val="TOC 标题2"/>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18</Pages>
  <Words>5400</Words>
  <Characters>5764</Characters>
  <Lines>55</Lines>
  <Paragraphs>15</Paragraphs>
  <TotalTime>13</TotalTime>
  <ScaleCrop>false</ScaleCrop>
  <LinksUpToDate>false</LinksUpToDate>
  <CharactersWithSpaces>5834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栈言</cp:lastModifiedBy>
  <cp:lastPrinted>2023-09-14T00:25:00Z</cp:lastPrinted>
  <dcterms:modified xsi:type="dcterms:W3CDTF">2023-09-14T02:30:01Z</dcterms:modified>
  <dc:title>四川省***</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5DADB5A3E8E745EBA764523C4CA5D8C6_13</vt:lpwstr>
  </property>
</Properties>
</file>