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szCs w:val="21"/>
        </w:rPr>
      </w:pPr>
      <w:bookmarkStart w:id="0"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rPr>
          <w:rFonts w:ascii="方正小标宋简体" w:hAnsi="方正小标宋简体" w:eastAsia="方正小标宋简体" w:cs="方正小标宋简体"/>
          <w:sz w:val="72"/>
          <w:szCs w:val="72"/>
        </w:rPr>
      </w:pPr>
      <w:bookmarkStart w:id="1" w:name="_Toc15396597"/>
      <w:bookmarkStart w:id="2" w:name="_Toc15377193"/>
      <w:bookmarkStart w:id="3" w:name="_Toc15396475"/>
      <w:bookmarkStart w:id="4" w:name="_Toc15378441"/>
      <w:bookmarkStart w:id="5" w:name="_Toc15377425"/>
      <w:r>
        <w:rPr>
          <w:rFonts w:hint="eastAsia" w:ascii="方正小标宋简体" w:hAnsi="方正小标宋简体" w:eastAsia="方正小标宋简体" w:cs="方正小标宋简体"/>
          <w:sz w:val="72"/>
          <w:szCs w:val="72"/>
        </w:rPr>
        <w:t>2022年度</w:t>
      </w:r>
      <w:bookmarkEnd w:id="1"/>
      <w:bookmarkEnd w:id="2"/>
      <w:bookmarkEnd w:id="3"/>
      <w:bookmarkEnd w:id="4"/>
      <w:bookmarkEnd w:id="5"/>
    </w:p>
    <w:bookmarkEnd w:id="0"/>
    <w:p>
      <w:pPr>
        <w:adjustRightInd w:val="0"/>
        <w:snapToGrid w:val="0"/>
        <w:spacing w:line="360" w:lineRule="auto"/>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中共攀枝花市纪委</w:t>
      </w:r>
    </w:p>
    <w:p>
      <w:pPr>
        <w:adjustRightInd w:val="0"/>
        <w:snapToGrid w:val="0"/>
        <w:spacing w:line="360" w:lineRule="auto"/>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攀枝花市监察委员会</w:t>
      </w:r>
    </w:p>
    <w:p>
      <w:pPr>
        <w:widowControl/>
        <w:jc w:val="center"/>
        <w:rPr>
          <w:rFonts w:ascii="黑体" w:hAnsi="黑体" w:eastAsia="黑体" w:cstheme="minorBidi"/>
          <w:sz w:val="28"/>
          <w:szCs w:val="28"/>
        </w:rPr>
      </w:pPr>
      <w:bookmarkStart w:id="6" w:name="_Toc15306268"/>
      <w:r>
        <w:rPr>
          <w:rFonts w:hint="eastAsia" w:ascii="方正小标宋简体" w:hAnsi="方正小标宋简体" w:eastAsia="方正小标宋简体" w:cs="方正小标宋简体"/>
          <w:sz w:val="72"/>
          <w:szCs w:val="72"/>
        </w:rPr>
        <w:t>单位决算</w:t>
      </w:r>
      <w:bookmarkEnd w:id="6"/>
      <w:r>
        <w:rPr>
          <w:rFonts w:ascii="方正小标宋简体" w:hAnsi="宋体" w:eastAsia="方正小标宋简体"/>
          <w:sz w:val="36"/>
          <w:szCs w:val="36"/>
        </w:rPr>
        <w:br w:type="page"/>
      </w:r>
      <w:r>
        <w:rPr>
          <w:rFonts w:hint="eastAsia" w:ascii="黑体" w:hAnsi="黑体" w:eastAsia="黑体"/>
          <w:sz w:val="48"/>
          <w:szCs w:val="48"/>
        </w:rPr>
        <w:t>目录</w:t>
      </w:r>
    </w:p>
    <w:p>
      <w:pPr>
        <w:pStyle w:val="14"/>
        <w:rPr>
          <w:rFonts w:ascii="Times New Roman" w:hAnsi="Times New Roman" w:eastAsia="方正仿宋_GBK"/>
        </w:rPr>
      </w:pPr>
      <w:r>
        <w:rPr>
          <w:rFonts w:ascii="Times New Roman" w:hAnsi="Times New Roman" w:eastAsia="方正仿宋_GBK"/>
        </w:rPr>
        <w:t>公开时间：2023年9月1</w:t>
      </w:r>
      <w:r>
        <w:rPr>
          <w:rFonts w:hint="eastAsia" w:ascii="Times New Roman" w:hAnsi="Times New Roman" w:eastAsia="方正仿宋_GBK"/>
          <w:lang w:val="en-US" w:eastAsia="zh-CN"/>
        </w:rPr>
        <w:t>5</w:t>
      </w:r>
      <w:r>
        <w:rPr>
          <w:rFonts w:ascii="Times New Roman" w:hAnsi="Times New Roman" w:eastAsia="方正仿宋_GBK"/>
        </w:rPr>
        <w:t>日</w:t>
      </w:r>
    </w:p>
    <w:p/>
    <w:sdt>
      <w:sdtPr>
        <w:rPr>
          <w:rFonts w:ascii="Times New Roman" w:hAnsi="Times New Roman" w:eastAsia="宋体"/>
          <w:sz w:val="33"/>
          <w:szCs w:val="33"/>
        </w:rPr>
        <w:id w:val="147461070"/>
        <w:docPartObj>
          <w:docPartGallery w:val="Table of Contents"/>
          <w:docPartUnique/>
        </w:docPartObj>
      </w:sdtPr>
      <w:sdtEndPr>
        <w:rPr>
          <w:rFonts w:ascii="Times New Roman" w:hAnsi="Times New Roman" w:eastAsia="宋体"/>
          <w:sz w:val="21"/>
          <w:szCs w:val="24"/>
        </w:rPr>
      </w:sdtEndPr>
      <w:sdtContent>
        <w:p>
          <w:pPr>
            <w:pStyle w:val="14"/>
            <w:rPr>
              <w:rFonts w:ascii="Times New Roman" w:hAnsi="Times New Roman"/>
              <w:sz w:val="33"/>
              <w:szCs w:val="33"/>
            </w:rPr>
          </w:pPr>
          <w:r>
            <w:rPr>
              <w:rFonts w:ascii="Times New Roman" w:hAnsi="Times New Roman"/>
              <w:sz w:val="33"/>
              <w:szCs w:val="33"/>
            </w:rPr>
            <w:fldChar w:fldCharType="begin"/>
          </w:r>
          <w:r>
            <w:rPr>
              <w:rFonts w:ascii="Times New Roman" w:hAnsi="Times New Roman"/>
              <w:sz w:val="33"/>
              <w:szCs w:val="33"/>
            </w:rPr>
            <w:instrText xml:space="preserve">TOC \o "1-3" \h \u </w:instrText>
          </w:r>
          <w:r>
            <w:rPr>
              <w:rFonts w:ascii="Times New Roman" w:hAnsi="Times New Roman"/>
              <w:sz w:val="33"/>
              <w:szCs w:val="33"/>
            </w:rPr>
            <w:fldChar w:fldCharType="separate"/>
          </w:r>
          <w:r>
            <w:fldChar w:fldCharType="begin"/>
          </w:r>
          <w:r>
            <w:instrText xml:space="preserve"> HYPERLINK \l "_Toc31313" </w:instrText>
          </w:r>
          <w:r>
            <w:fldChar w:fldCharType="separate"/>
          </w:r>
          <w:r>
            <w:rPr>
              <w:rFonts w:ascii="Times New Roman" w:hAnsi="Times New Roman" w:eastAsia="黑体"/>
              <w:sz w:val="33"/>
              <w:szCs w:val="33"/>
            </w:rPr>
            <w:t>第一部分 单位概况</w:t>
          </w:r>
          <w:r>
            <w:rPr>
              <w:rFonts w:ascii="Times New Roman" w:hAnsi="Times New Roman"/>
              <w:sz w:val="33"/>
              <w:szCs w:val="33"/>
            </w:rPr>
            <w:tab/>
          </w:r>
          <w:r>
            <w:rPr>
              <w:rFonts w:ascii="Times New Roman" w:hAnsi="Times New Roman"/>
              <w:sz w:val="33"/>
              <w:szCs w:val="33"/>
            </w:rPr>
            <w:fldChar w:fldCharType="begin"/>
          </w:r>
          <w:r>
            <w:rPr>
              <w:rFonts w:ascii="Times New Roman" w:hAnsi="Times New Roman"/>
              <w:sz w:val="33"/>
              <w:szCs w:val="33"/>
            </w:rPr>
            <w:instrText xml:space="preserve"> PAGEREF _Toc31313 \h </w:instrText>
          </w:r>
          <w:r>
            <w:rPr>
              <w:rFonts w:ascii="Times New Roman" w:hAnsi="Times New Roman"/>
              <w:sz w:val="33"/>
              <w:szCs w:val="33"/>
            </w:rPr>
            <w:fldChar w:fldCharType="separate"/>
          </w:r>
          <w:r>
            <w:rPr>
              <w:rFonts w:ascii="Times New Roman" w:hAnsi="Times New Roman"/>
              <w:sz w:val="33"/>
              <w:szCs w:val="33"/>
            </w:rPr>
            <w:t>4</w:t>
          </w:r>
          <w:r>
            <w:rPr>
              <w:rFonts w:ascii="Times New Roman" w:hAnsi="Times New Roman"/>
              <w:sz w:val="33"/>
              <w:szCs w:val="33"/>
            </w:rPr>
            <w:fldChar w:fldCharType="end"/>
          </w:r>
          <w:r>
            <w:rPr>
              <w:rFonts w:ascii="Times New Roman" w:hAnsi="Times New Roman"/>
              <w:sz w:val="33"/>
              <w:szCs w:val="33"/>
            </w:rPr>
            <w:fldChar w:fldCharType="end"/>
          </w:r>
        </w:p>
        <w:p>
          <w:pPr>
            <w:pStyle w:val="15"/>
            <w:tabs>
              <w:tab w:val="right" w:leader="dot" w:pos="8306"/>
              <w:tab w:val="clear" w:pos="8296"/>
            </w:tabs>
            <w:spacing w:line="576" w:lineRule="exact"/>
            <w:rPr>
              <w:rFonts w:eastAsia="方正仿宋_GBK"/>
              <w:sz w:val="33"/>
              <w:szCs w:val="33"/>
            </w:rPr>
          </w:pPr>
          <w:r>
            <w:fldChar w:fldCharType="begin"/>
          </w:r>
          <w:r>
            <w:instrText xml:space="preserve"> HYPERLINK \l "_Toc11887" </w:instrText>
          </w:r>
          <w:r>
            <w:fldChar w:fldCharType="separate"/>
          </w:r>
          <w:r>
            <w:rPr>
              <w:rFonts w:eastAsia="方正仿宋_GBK"/>
              <w:sz w:val="33"/>
              <w:szCs w:val="33"/>
            </w:rPr>
            <w:t>一、 主要职责</w:t>
          </w:r>
          <w:r>
            <w:rPr>
              <w:rFonts w:eastAsia="方正仿宋_GBK"/>
              <w:sz w:val="33"/>
              <w:szCs w:val="33"/>
            </w:rPr>
            <w:tab/>
          </w:r>
          <w:r>
            <w:rPr>
              <w:rFonts w:eastAsia="方正仿宋_GBK"/>
              <w:sz w:val="33"/>
              <w:szCs w:val="33"/>
            </w:rPr>
            <w:fldChar w:fldCharType="begin"/>
          </w:r>
          <w:r>
            <w:rPr>
              <w:rFonts w:eastAsia="方正仿宋_GBK"/>
              <w:sz w:val="33"/>
              <w:szCs w:val="33"/>
            </w:rPr>
            <w:instrText xml:space="preserve"> PAGEREF _Toc11887 \h </w:instrText>
          </w:r>
          <w:r>
            <w:rPr>
              <w:rFonts w:eastAsia="方正仿宋_GBK"/>
              <w:sz w:val="33"/>
              <w:szCs w:val="33"/>
            </w:rPr>
            <w:fldChar w:fldCharType="separate"/>
          </w:r>
          <w:r>
            <w:rPr>
              <w:rFonts w:eastAsia="方正仿宋_GBK"/>
              <w:sz w:val="33"/>
              <w:szCs w:val="33"/>
            </w:rPr>
            <w:t>4</w:t>
          </w:r>
          <w:r>
            <w:rPr>
              <w:rFonts w:eastAsia="方正仿宋_GBK"/>
              <w:sz w:val="33"/>
              <w:szCs w:val="33"/>
            </w:rPr>
            <w:fldChar w:fldCharType="end"/>
          </w:r>
          <w:r>
            <w:rPr>
              <w:rFonts w:eastAsia="方正仿宋_GBK"/>
              <w:sz w:val="33"/>
              <w:szCs w:val="33"/>
            </w:rPr>
            <w:fldChar w:fldCharType="end"/>
          </w:r>
        </w:p>
        <w:p>
          <w:pPr>
            <w:pStyle w:val="15"/>
            <w:tabs>
              <w:tab w:val="right" w:leader="dot" w:pos="8306"/>
              <w:tab w:val="clear" w:pos="8296"/>
            </w:tabs>
            <w:spacing w:line="576" w:lineRule="exact"/>
            <w:rPr>
              <w:sz w:val="33"/>
              <w:szCs w:val="33"/>
            </w:rPr>
          </w:pPr>
          <w:r>
            <w:fldChar w:fldCharType="begin"/>
          </w:r>
          <w:r>
            <w:instrText xml:space="preserve"> HYPERLINK \l "_Toc21233" </w:instrText>
          </w:r>
          <w:r>
            <w:fldChar w:fldCharType="separate"/>
          </w:r>
          <w:r>
            <w:rPr>
              <w:rFonts w:eastAsia="方正仿宋_GBK"/>
              <w:sz w:val="33"/>
              <w:szCs w:val="33"/>
            </w:rPr>
            <w:t>二、 机构设置</w:t>
          </w:r>
          <w:r>
            <w:rPr>
              <w:rFonts w:eastAsia="方正仿宋_GBK"/>
              <w:sz w:val="33"/>
              <w:szCs w:val="33"/>
            </w:rPr>
            <w:tab/>
          </w:r>
          <w:r>
            <w:rPr>
              <w:rFonts w:eastAsia="方正仿宋_GBK"/>
              <w:sz w:val="33"/>
              <w:szCs w:val="33"/>
            </w:rPr>
            <w:fldChar w:fldCharType="begin"/>
          </w:r>
          <w:r>
            <w:rPr>
              <w:rFonts w:eastAsia="方正仿宋_GBK"/>
              <w:sz w:val="33"/>
              <w:szCs w:val="33"/>
            </w:rPr>
            <w:instrText xml:space="preserve"> PAGEREF _Toc21233 \h </w:instrText>
          </w:r>
          <w:r>
            <w:rPr>
              <w:rFonts w:eastAsia="方正仿宋_GBK"/>
              <w:sz w:val="33"/>
              <w:szCs w:val="33"/>
            </w:rPr>
            <w:fldChar w:fldCharType="separate"/>
          </w:r>
          <w:r>
            <w:rPr>
              <w:rFonts w:eastAsia="方正仿宋_GBK"/>
              <w:sz w:val="33"/>
              <w:szCs w:val="33"/>
            </w:rPr>
            <w:t>4</w:t>
          </w:r>
          <w:r>
            <w:rPr>
              <w:rFonts w:eastAsia="方正仿宋_GBK"/>
              <w:sz w:val="33"/>
              <w:szCs w:val="33"/>
            </w:rPr>
            <w:fldChar w:fldCharType="end"/>
          </w:r>
          <w:r>
            <w:rPr>
              <w:rFonts w:eastAsia="方正仿宋_GBK"/>
              <w:sz w:val="33"/>
              <w:szCs w:val="33"/>
            </w:rPr>
            <w:fldChar w:fldCharType="end"/>
          </w:r>
        </w:p>
        <w:p>
          <w:pPr>
            <w:pStyle w:val="14"/>
            <w:tabs>
              <w:tab w:val="right" w:leader="dot" w:pos="8306"/>
              <w:tab w:val="clear" w:pos="8296"/>
            </w:tabs>
            <w:spacing w:line="576" w:lineRule="exact"/>
            <w:rPr>
              <w:rFonts w:ascii="Times New Roman" w:hAnsi="Times New Roman"/>
              <w:sz w:val="33"/>
              <w:szCs w:val="33"/>
            </w:rPr>
          </w:pPr>
          <w:r>
            <w:fldChar w:fldCharType="begin"/>
          </w:r>
          <w:r>
            <w:instrText xml:space="preserve"> HYPERLINK \l "_Toc12169" </w:instrText>
          </w:r>
          <w:r>
            <w:fldChar w:fldCharType="separate"/>
          </w:r>
          <w:r>
            <w:rPr>
              <w:rFonts w:ascii="Times New Roman" w:hAnsi="Times New Roman" w:eastAsia="黑体"/>
              <w:sz w:val="33"/>
              <w:szCs w:val="33"/>
            </w:rPr>
            <w:t>第二部分 2022年度</w:t>
          </w:r>
          <w:r>
            <w:rPr>
              <w:rFonts w:ascii="Times New Roman" w:hAnsi="Times New Roman" w:eastAsia="黑体"/>
              <w:bCs/>
              <w:sz w:val="33"/>
              <w:szCs w:val="33"/>
            </w:rPr>
            <w:t>单位决算情况说明</w:t>
          </w:r>
          <w:r>
            <w:rPr>
              <w:rFonts w:ascii="Times New Roman" w:hAnsi="Times New Roman"/>
              <w:sz w:val="33"/>
              <w:szCs w:val="33"/>
            </w:rPr>
            <w:tab/>
          </w:r>
          <w:r>
            <w:rPr>
              <w:rFonts w:ascii="Times New Roman" w:hAnsi="Times New Roman"/>
              <w:sz w:val="33"/>
              <w:szCs w:val="33"/>
            </w:rPr>
            <w:fldChar w:fldCharType="begin"/>
          </w:r>
          <w:r>
            <w:rPr>
              <w:rFonts w:ascii="Times New Roman" w:hAnsi="Times New Roman"/>
              <w:sz w:val="33"/>
              <w:szCs w:val="33"/>
            </w:rPr>
            <w:instrText xml:space="preserve"> PAGEREF _Toc12169 \h </w:instrText>
          </w:r>
          <w:r>
            <w:rPr>
              <w:rFonts w:ascii="Times New Roman" w:hAnsi="Times New Roman"/>
              <w:sz w:val="33"/>
              <w:szCs w:val="33"/>
            </w:rPr>
            <w:fldChar w:fldCharType="separate"/>
          </w:r>
          <w:r>
            <w:rPr>
              <w:rFonts w:ascii="Times New Roman" w:hAnsi="Times New Roman"/>
              <w:sz w:val="33"/>
              <w:szCs w:val="33"/>
            </w:rPr>
            <w:t>5</w:t>
          </w:r>
          <w:r>
            <w:rPr>
              <w:rFonts w:ascii="Times New Roman" w:hAnsi="Times New Roman"/>
              <w:sz w:val="33"/>
              <w:szCs w:val="33"/>
            </w:rPr>
            <w:fldChar w:fldCharType="end"/>
          </w:r>
          <w:r>
            <w:rPr>
              <w:rFonts w:ascii="Times New Roman" w:hAnsi="Times New Roman"/>
              <w:sz w:val="33"/>
              <w:szCs w:val="33"/>
            </w:rPr>
            <w:fldChar w:fldCharType="end"/>
          </w:r>
        </w:p>
        <w:p>
          <w:pPr>
            <w:pStyle w:val="15"/>
            <w:tabs>
              <w:tab w:val="right" w:leader="dot" w:pos="8306"/>
              <w:tab w:val="clear" w:pos="8296"/>
            </w:tabs>
            <w:spacing w:line="576" w:lineRule="exact"/>
            <w:rPr>
              <w:rFonts w:eastAsia="方正仿宋_GBK"/>
              <w:sz w:val="33"/>
              <w:szCs w:val="33"/>
            </w:rPr>
          </w:pPr>
          <w:r>
            <w:fldChar w:fldCharType="begin"/>
          </w:r>
          <w:r>
            <w:instrText xml:space="preserve"> HYPERLINK \l "_Toc21849" </w:instrText>
          </w:r>
          <w:r>
            <w:fldChar w:fldCharType="separate"/>
          </w:r>
          <w:r>
            <w:rPr>
              <w:rFonts w:eastAsia="方正仿宋_GBK"/>
              <w:sz w:val="33"/>
              <w:szCs w:val="33"/>
            </w:rPr>
            <w:t>一、 收入支出决算总体情况说明</w:t>
          </w:r>
          <w:r>
            <w:rPr>
              <w:rFonts w:eastAsia="方正仿宋_GBK"/>
              <w:sz w:val="33"/>
              <w:szCs w:val="33"/>
            </w:rPr>
            <w:tab/>
          </w:r>
          <w:r>
            <w:rPr>
              <w:rFonts w:eastAsia="方正仿宋_GBK"/>
              <w:sz w:val="33"/>
              <w:szCs w:val="33"/>
            </w:rPr>
            <w:fldChar w:fldCharType="begin"/>
          </w:r>
          <w:r>
            <w:rPr>
              <w:rFonts w:eastAsia="方正仿宋_GBK"/>
              <w:sz w:val="33"/>
              <w:szCs w:val="33"/>
            </w:rPr>
            <w:instrText xml:space="preserve"> PAGEREF _Toc21849 \h </w:instrText>
          </w:r>
          <w:r>
            <w:rPr>
              <w:rFonts w:eastAsia="方正仿宋_GBK"/>
              <w:sz w:val="33"/>
              <w:szCs w:val="33"/>
            </w:rPr>
            <w:fldChar w:fldCharType="separate"/>
          </w:r>
          <w:r>
            <w:rPr>
              <w:rFonts w:eastAsia="方正仿宋_GBK"/>
              <w:sz w:val="33"/>
              <w:szCs w:val="33"/>
            </w:rPr>
            <w:t>5</w:t>
          </w:r>
          <w:r>
            <w:rPr>
              <w:rFonts w:eastAsia="方正仿宋_GBK"/>
              <w:sz w:val="33"/>
              <w:szCs w:val="33"/>
            </w:rPr>
            <w:fldChar w:fldCharType="end"/>
          </w:r>
          <w:r>
            <w:rPr>
              <w:rFonts w:eastAsia="方正仿宋_GBK"/>
              <w:sz w:val="33"/>
              <w:szCs w:val="33"/>
            </w:rPr>
            <w:fldChar w:fldCharType="end"/>
          </w:r>
        </w:p>
        <w:p>
          <w:pPr>
            <w:pStyle w:val="15"/>
            <w:tabs>
              <w:tab w:val="right" w:leader="dot" w:pos="8306"/>
              <w:tab w:val="clear" w:pos="8296"/>
            </w:tabs>
            <w:spacing w:line="576" w:lineRule="exact"/>
            <w:rPr>
              <w:rFonts w:eastAsia="方正仿宋_GBK"/>
              <w:sz w:val="33"/>
              <w:szCs w:val="33"/>
            </w:rPr>
          </w:pPr>
          <w:r>
            <w:fldChar w:fldCharType="begin"/>
          </w:r>
          <w:r>
            <w:instrText xml:space="preserve"> HYPERLINK \l "_Toc9044" </w:instrText>
          </w:r>
          <w:r>
            <w:fldChar w:fldCharType="separate"/>
          </w:r>
          <w:r>
            <w:rPr>
              <w:rFonts w:eastAsia="方正仿宋_GBK"/>
              <w:sz w:val="33"/>
              <w:szCs w:val="33"/>
            </w:rPr>
            <w:t>二、 收入决算情况说明</w:t>
          </w:r>
          <w:r>
            <w:rPr>
              <w:rFonts w:eastAsia="方正仿宋_GBK"/>
              <w:sz w:val="33"/>
              <w:szCs w:val="33"/>
            </w:rPr>
            <w:tab/>
          </w:r>
          <w:r>
            <w:rPr>
              <w:rFonts w:eastAsia="方正仿宋_GBK"/>
              <w:sz w:val="33"/>
              <w:szCs w:val="33"/>
            </w:rPr>
            <w:fldChar w:fldCharType="begin"/>
          </w:r>
          <w:r>
            <w:rPr>
              <w:rFonts w:eastAsia="方正仿宋_GBK"/>
              <w:sz w:val="33"/>
              <w:szCs w:val="33"/>
            </w:rPr>
            <w:instrText xml:space="preserve"> PAGEREF _Toc9044 \h </w:instrText>
          </w:r>
          <w:r>
            <w:rPr>
              <w:rFonts w:eastAsia="方正仿宋_GBK"/>
              <w:sz w:val="33"/>
              <w:szCs w:val="33"/>
            </w:rPr>
            <w:fldChar w:fldCharType="separate"/>
          </w:r>
          <w:r>
            <w:rPr>
              <w:rFonts w:eastAsia="方正仿宋_GBK"/>
              <w:sz w:val="33"/>
              <w:szCs w:val="33"/>
            </w:rPr>
            <w:t>5</w:t>
          </w:r>
          <w:r>
            <w:rPr>
              <w:rFonts w:eastAsia="方正仿宋_GBK"/>
              <w:sz w:val="33"/>
              <w:szCs w:val="33"/>
            </w:rPr>
            <w:fldChar w:fldCharType="end"/>
          </w:r>
          <w:r>
            <w:rPr>
              <w:rFonts w:eastAsia="方正仿宋_GBK"/>
              <w:sz w:val="33"/>
              <w:szCs w:val="33"/>
            </w:rPr>
            <w:fldChar w:fldCharType="end"/>
          </w:r>
        </w:p>
        <w:p>
          <w:pPr>
            <w:pStyle w:val="15"/>
            <w:tabs>
              <w:tab w:val="right" w:leader="dot" w:pos="8306"/>
              <w:tab w:val="clear" w:pos="8296"/>
            </w:tabs>
            <w:spacing w:line="576" w:lineRule="exact"/>
            <w:rPr>
              <w:rFonts w:eastAsia="方正仿宋_GBK"/>
              <w:sz w:val="33"/>
              <w:szCs w:val="33"/>
            </w:rPr>
          </w:pPr>
          <w:r>
            <w:fldChar w:fldCharType="begin"/>
          </w:r>
          <w:r>
            <w:instrText xml:space="preserve"> HYPERLINK \l "_Toc25745" </w:instrText>
          </w:r>
          <w:r>
            <w:fldChar w:fldCharType="separate"/>
          </w:r>
          <w:r>
            <w:rPr>
              <w:rFonts w:eastAsia="方正仿宋_GBK"/>
              <w:sz w:val="33"/>
              <w:szCs w:val="33"/>
            </w:rPr>
            <w:t>三、 支出决算情况说明</w:t>
          </w:r>
          <w:r>
            <w:rPr>
              <w:rFonts w:eastAsia="方正仿宋_GBK"/>
              <w:sz w:val="33"/>
              <w:szCs w:val="33"/>
            </w:rPr>
            <w:tab/>
          </w:r>
          <w:r>
            <w:rPr>
              <w:rFonts w:eastAsia="方正仿宋_GBK"/>
              <w:sz w:val="33"/>
              <w:szCs w:val="33"/>
            </w:rPr>
            <w:fldChar w:fldCharType="begin"/>
          </w:r>
          <w:r>
            <w:rPr>
              <w:rFonts w:eastAsia="方正仿宋_GBK"/>
              <w:sz w:val="33"/>
              <w:szCs w:val="33"/>
            </w:rPr>
            <w:instrText xml:space="preserve"> PAGEREF _Toc25745 \h </w:instrText>
          </w:r>
          <w:r>
            <w:rPr>
              <w:rFonts w:eastAsia="方正仿宋_GBK"/>
              <w:sz w:val="33"/>
              <w:szCs w:val="33"/>
            </w:rPr>
            <w:fldChar w:fldCharType="separate"/>
          </w:r>
          <w:r>
            <w:rPr>
              <w:rFonts w:eastAsia="方正仿宋_GBK"/>
              <w:sz w:val="33"/>
              <w:szCs w:val="33"/>
            </w:rPr>
            <w:t>6</w:t>
          </w:r>
          <w:r>
            <w:rPr>
              <w:rFonts w:eastAsia="方正仿宋_GBK"/>
              <w:sz w:val="33"/>
              <w:szCs w:val="33"/>
            </w:rPr>
            <w:fldChar w:fldCharType="end"/>
          </w:r>
          <w:r>
            <w:rPr>
              <w:rFonts w:eastAsia="方正仿宋_GBK"/>
              <w:sz w:val="33"/>
              <w:szCs w:val="33"/>
            </w:rPr>
            <w:fldChar w:fldCharType="end"/>
          </w:r>
        </w:p>
        <w:p>
          <w:pPr>
            <w:pStyle w:val="15"/>
            <w:tabs>
              <w:tab w:val="right" w:leader="dot" w:pos="8306"/>
              <w:tab w:val="clear" w:pos="8296"/>
            </w:tabs>
            <w:spacing w:line="576" w:lineRule="exact"/>
            <w:rPr>
              <w:rFonts w:eastAsia="方正仿宋_GBK"/>
              <w:sz w:val="33"/>
              <w:szCs w:val="33"/>
            </w:rPr>
          </w:pPr>
          <w:r>
            <w:fldChar w:fldCharType="begin"/>
          </w:r>
          <w:r>
            <w:instrText xml:space="preserve"> HYPERLINK \l "_Toc8962" </w:instrText>
          </w:r>
          <w:r>
            <w:fldChar w:fldCharType="separate"/>
          </w:r>
          <w:r>
            <w:rPr>
              <w:rFonts w:eastAsia="方正仿宋_GBK"/>
              <w:sz w:val="33"/>
              <w:szCs w:val="33"/>
            </w:rPr>
            <w:t>四、财政拨款收入支出决算总体情况说明</w:t>
          </w:r>
          <w:r>
            <w:rPr>
              <w:rFonts w:eastAsia="方正仿宋_GBK"/>
              <w:sz w:val="33"/>
              <w:szCs w:val="33"/>
            </w:rPr>
            <w:tab/>
          </w:r>
          <w:r>
            <w:rPr>
              <w:rFonts w:eastAsia="方正仿宋_GBK"/>
              <w:sz w:val="33"/>
              <w:szCs w:val="33"/>
            </w:rPr>
            <w:fldChar w:fldCharType="begin"/>
          </w:r>
          <w:r>
            <w:rPr>
              <w:rFonts w:eastAsia="方正仿宋_GBK"/>
              <w:sz w:val="33"/>
              <w:szCs w:val="33"/>
            </w:rPr>
            <w:instrText xml:space="preserve"> PAGEREF _Toc8962 \h </w:instrText>
          </w:r>
          <w:r>
            <w:rPr>
              <w:rFonts w:eastAsia="方正仿宋_GBK"/>
              <w:sz w:val="33"/>
              <w:szCs w:val="33"/>
            </w:rPr>
            <w:fldChar w:fldCharType="separate"/>
          </w:r>
          <w:r>
            <w:rPr>
              <w:rFonts w:eastAsia="方正仿宋_GBK"/>
              <w:sz w:val="33"/>
              <w:szCs w:val="33"/>
            </w:rPr>
            <w:t>6</w:t>
          </w:r>
          <w:r>
            <w:rPr>
              <w:rFonts w:eastAsia="方正仿宋_GBK"/>
              <w:sz w:val="33"/>
              <w:szCs w:val="33"/>
            </w:rPr>
            <w:fldChar w:fldCharType="end"/>
          </w:r>
          <w:r>
            <w:rPr>
              <w:rFonts w:eastAsia="方正仿宋_GBK"/>
              <w:sz w:val="33"/>
              <w:szCs w:val="33"/>
            </w:rPr>
            <w:fldChar w:fldCharType="end"/>
          </w:r>
        </w:p>
        <w:p>
          <w:pPr>
            <w:pStyle w:val="15"/>
            <w:tabs>
              <w:tab w:val="right" w:leader="dot" w:pos="8306"/>
              <w:tab w:val="clear" w:pos="8296"/>
            </w:tabs>
            <w:spacing w:line="576" w:lineRule="exact"/>
            <w:rPr>
              <w:rFonts w:eastAsia="方正仿宋_GBK"/>
              <w:sz w:val="33"/>
              <w:szCs w:val="33"/>
            </w:rPr>
          </w:pPr>
          <w:r>
            <w:fldChar w:fldCharType="begin"/>
          </w:r>
          <w:r>
            <w:instrText xml:space="preserve"> HYPERLINK \l "_Toc5669" </w:instrText>
          </w:r>
          <w:r>
            <w:fldChar w:fldCharType="separate"/>
          </w:r>
          <w:r>
            <w:rPr>
              <w:rFonts w:eastAsia="方正仿宋_GBK"/>
              <w:sz w:val="33"/>
              <w:szCs w:val="33"/>
            </w:rPr>
            <w:t>五、一般公共预算财政拨款支出决算情况说明</w:t>
          </w:r>
          <w:r>
            <w:rPr>
              <w:rFonts w:eastAsia="方正仿宋_GBK"/>
              <w:sz w:val="33"/>
              <w:szCs w:val="33"/>
            </w:rPr>
            <w:tab/>
          </w:r>
          <w:r>
            <w:rPr>
              <w:rFonts w:eastAsia="方正仿宋_GBK"/>
              <w:sz w:val="33"/>
              <w:szCs w:val="33"/>
            </w:rPr>
            <w:fldChar w:fldCharType="begin"/>
          </w:r>
          <w:r>
            <w:rPr>
              <w:rFonts w:eastAsia="方正仿宋_GBK"/>
              <w:sz w:val="33"/>
              <w:szCs w:val="33"/>
            </w:rPr>
            <w:instrText xml:space="preserve"> PAGEREF _Toc5669 \h </w:instrText>
          </w:r>
          <w:r>
            <w:rPr>
              <w:rFonts w:eastAsia="方正仿宋_GBK"/>
              <w:sz w:val="33"/>
              <w:szCs w:val="33"/>
            </w:rPr>
            <w:fldChar w:fldCharType="separate"/>
          </w:r>
          <w:r>
            <w:rPr>
              <w:rFonts w:eastAsia="方正仿宋_GBK"/>
              <w:sz w:val="33"/>
              <w:szCs w:val="33"/>
            </w:rPr>
            <w:t>7</w:t>
          </w:r>
          <w:r>
            <w:rPr>
              <w:rFonts w:eastAsia="方正仿宋_GBK"/>
              <w:sz w:val="33"/>
              <w:szCs w:val="33"/>
            </w:rPr>
            <w:fldChar w:fldCharType="end"/>
          </w:r>
          <w:r>
            <w:rPr>
              <w:rFonts w:eastAsia="方正仿宋_GBK"/>
              <w:sz w:val="33"/>
              <w:szCs w:val="33"/>
            </w:rPr>
            <w:fldChar w:fldCharType="end"/>
          </w:r>
        </w:p>
        <w:p>
          <w:pPr>
            <w:pStyle w:val="15"/>
            <w:tabs>
              <w:tab w:val="right" w:leader="dot" w:pos="8306"/>
              <w:tab w:val="clear" w:pos="8296"/>
            </w:tabs>
            <w:spacing w:line="576" w:lineRule="exact"/>
            <w:rPr>
              <w:rFonts w:eastAsia="方正仿宋_GBK"/>
              <w:sz w:val="33"/>
              <w:szCs w:val="33"/>
            </w:rPr>
          </w:pPr>
          <w:r>
            <w:fldChar w:fldCharType="begin"/>
          </w:r>
          <w:r>
            <w:instrText xml:space="preserve"> HYPERLINK \l "_Toc20434" </w:instrText>
          </w:r>
          <w:r>
            <w:fldChar w:fldCharType="separate"/>
          </w:r>
          <w:r>
            <w:rPr>
              <w:rFonts w:eastAsia="方正仿宋_GBK"/>
              <w:sz w:val="33"/>
              <w:szCs w:val="33"/>
            </w:rPr>
            <w:t>六、一般公共预算财政拨款基本支出决算情况说明</w:t>
          </w:r>
          <w:r>
            <w:rPr>
              <w:rFonts w:eastAsia="方正仿宋_GBK"/>
              <w:sz w:val="33"/>
              <w:szCs w:val="33"/>
            </w:rPr>
            <w:tab/>
          </w:r>
          <w:r>
            <w:rPr>
              <w:rFonts w:eastAsia="方正仿宋_GBK"/>
              <w:sz w:val="33"/>
              <w:szCs w:val="33"/>
            </w:rPr>
            <w:fldChar w:fldCharType="begin"/>
          </w:r>
          <w:r>
            <w:rPr>
              <w:rFonts w:eastAsia="方正仿宋_GBK"/>
              <w:sz w:val="33"/>
              <w:szCs w:val="33"/>
            </w:rPr>
            <w:instrText xml:space="preserve"> PAGEREF _Toc20434 \h </w:instrText>
          </w:r>
          <w:r>
            <w:rPr>
              <w:rFonts w:eastAsia="方正仿宋_GBK"/>
              <w:sz w:val="33"/>
              <w:szCs w:val="33"/>
            </w:rPr>
            <w:fldChar w:fldCharType="separate"/>
          </w:r>
          <w:r>
            <w:rPr>
              <w:rFonts w:eastAsia="方正仿宋_GBK"/>
              <w:sz w:val="33"/>
              <w:szCs w:val="33"/>
            </w:rPr>
            <w:t>10</w:t>
          </w:r>
          <w:r>
            <w:rPr>
              <w:rFonts w:eastAsia="方正仿宋_GBK"/>
              <w:sz w:val="33"/>
              <w:szCs w:val="33"/>
            </w:rPr>
            <w:fldChar w:fldCharType="end"/>
          </w:r>
          <w:r>
            <w:rPr>
              <w:rFonts w:eastAsia="方正仿宋_GBK"/>
              <w:sz w:val="33"/>
              <w:szCs w:val="33"/>
            </w:rPr>
            <w:fldChar w:fldCharType="end"/>
          </w:r>
        </w:p>
        <w:p>
          <w:pPr>
            <w:pStyle w:val="15"/>
            <w:tabs>
              <w:tab w:val="right" w:leader="dot" w:pos="8306"/>
              <w:tab w:val="clear" w:pos="8296"/>
            </w:tabs>
            <w:spacing w:line="576" w:lineRule="exact"/>
            <w:rPr>
              <w:rFonts w:eastAsia="方正仿宋_GBK"/>
              <w:sz w:val="33"/>
              <w:szCs w:val="33"/>
            </w:rPr>
          </w:pPr>
          <w:r>
            <w:fldChar w:fldCharType="begin"/>
          </w:r>
          <w:r>
            <w:instrText xml:space="preserve"> HYPERLINK \l "_Toc16378" </w:instrText>
          </w:r>
          <w:r>
            <w:fldChar w:fldCharType="separate"/>
          </w:r>
          <w:r>
            <w:rPr>
              <w:rFonts w:eastAsia="方正仿宋_GBK"/>
              <w:sz w:val="33"/>
              <w:szCs w:val="33"/>
            </w:rPr>
            <w:t>七、财政拨款“三公”经费支出决算情况说明</w:t>
          </w:r>
          <w:r>
            <w:rPr>
              <w:rFonts w:eastAsia="方正仿宋_GBK"/>
              <w:sz w:val="33"/>
              <w:szCs w:val="33"/>
            </w:rPr>
            <w:tab/>
          </w:r>
          <w:r>
            <w:rPr>
              <w:rFonts w:eastAsia="方正仿宋_GBK"/>
              <w:sz w:val="33"/>
              <w:szCs w:val="33"/>
            </w:rPr>
            <w:fldChar w:fldCharType="begin"/>
          </w:r>
          <w:r>
            <w:rPr>
              <w:rFonts w:eastAsia="方正仿宋_GBK"/>
              <w:sz w:val="33"/>
              <w:szCs w:val="33"/>
            </w:rPr>
            <w:instrText xml:space="preserve"> PAGEREF _Toc16378 \h </w:instrText>
          </w:r>
          <w:r>
            <w:rPr>
              <w:rFonts w:eastAsia="方正仿宋_GBK"/>
              <w:sz w:val="33"/>
              <w:szCs w:val="33"/>
            </w:rPr>
            <w:fldChar w:fldCharType="separate"/>
          </w:r>
          <w:r>
            <w:rPr>
              <w:rFonts w:eastAsia="方正仿宋_GBK"/>
              <w:sz w:val="33"/>
              <w:szCs w:val="33"/>
            </w:rPr>
            <w:t>11</w:t>
          </w:r>
          <w:r>
            <w:rPr>
              <w:rFonts w:eastAsia="方正仿宋_GBK"/>
              <w:sz w:val="33"/>
              <w:szCs w:val="33"/>
            </w:rPr>
            <w:fldChar w:fldCharType="end"/>
          </w:r>
          <w:r>
            <w:rPr>
              <w:rFonts w:eastAsia="方正仿宋_GBK"/>
              <w:sz w:val="33"/>
              <w:szCs w:val="33"/>
            </w:rPr>
            <w:fldChar w:fldCharType="end"/>
          </w:r>
        </w:p>
        <w:p>
          <w:pPr>
            <w:pStyle w:val="15"/>
            <w:tabs>
              <w:tab w:val="right" w:leader="dot" w:pos="8306"/>
              <w:tab w:val="clear" w:pos="8296"/>
            </w:tabs>
            <w:spacing w:line="576" w:lineRule="exact"/>
            <w:rPr>
              <w:rFonts w:eastAsia="方正仿宋_GBK"/>
              <w:sz w:val="33"/>
              <w:szCs w:val="33"/>
            </w:rPr>
          </w:pPr>
          <w:r>
            <w:fldChar w:fldCharType="begin"/>
          </w:r>
          <w:r>
            <w:instrText xml:space="preserve"> HYPERLINK \l "_Toc29891" </w:instrText>
          </w:r>
          <w:r>
            <w:fldChar w:fldCharType="separate"/>
          </w:r>
          <w:r>
            <w:rPr>
              <w:rFonts w:eastAsia="方正仿宋_GBK"/>
              <w:sz w:val="33"/>
              <w:szCs w:val="33"/>
            </w:rPr>
            <w:t>八、政府性基金预算支出决算情况说明</w:t>
          </w:r>
          <w:r>
            <w:rPr>
              <w:rFonts w:eastAsia="方正仿宋_GBK"/>
              <w:sz w:val="33"/>
              <w:szCs w:val="33"/>
            </w:rPr>
            <w:tab/>
          </w:r>
          <w:r>
            <w:rPr>
              <w:rFonts w:eastAsia="方正仿宋_GBK"/>
              <w:sz w:val="33"/>
              <w:szCs w:val="33"/>
            </w:rPr>
            <w:fldChar w:fldCharType="begin"/>
          </w:r>
          <w:r>
            <w:rPr>
              <w:rFonts w:eastAsia="方正仿宋_GBK"/>
              <w:sz w:val="33"/>
              <w:szCs w:val="33"/>
            </w:rPr>
            <w:instrText xml:space="preserve"> PAGEREF _Toc29891 \h </w:instrText>
          </w:r>
          <w:r>
            <w:rPr>
              <w:rFonts w:eastAsia="方正仿宋_GBK"/>
              <w:sz w:val="33"/>
              <w:szCs w:val="33"/>
            </w:rPr>
            <w:fldChar w:fldCharType="separate"/>
          </w:r>
          <w:r>
            <w:rPr>
              <w:rFonts w:eastAsia="方正仿宋_GBK"/>
              <w:sz w:val="33"/>
              <w:szCs w:val="33"/>
            </w:rPr>
            <w:t>13</w:t>
          </w:r>
          <w:r>
            <w:rPr>
              <w:rFonts w:eastAsia="方正仿宋_GBK"/>
              <w:sz w:val="33"/>
              <w:szCs w:val="33"/>
            </w:rPr>
            <w:fldChar w:fldCharType="end"/>
          </w:r>
          <w:r>
            <w:rPr>
              <w:rFonts w:eastAsia="方正仿宋_GBK"/>
              <w:sz w:val="33"/>
              <w:szCs w:val="33"/>
            </w:rPr>
            <w:fldChar w:fldCharType="end"/>
          </w:r>
        </w:p>
        <w:p>
          <w:pPr>
            <w:pStyle w:val="15"/>
            <w:tabs>
              <w:tab w:val="right" w:leader="dot" w:pos="8306"/>
              <w:tab w:val="clear" w:pos="8296"/>
            </w:tabs>
            <w:spacing w:line="576" w:lineRule="exact"/>
            <w:rPr>
              <w:rFonts w:eastAsia="方正仿宋_GBK"/>
              <w:sz w:val="33"/>
              <w:szCs w:val="33"/>
            </w:rPr>
          </w:pPr>
          <w:r>
            <w:fldChar w:fldCharType="begin"/>
          </w:r>
          <w:r>
            <w:instrText xml:space="preserve"> HYPERLINK \l "_Toc7266" </w:instrText>
          </w:r>
          <w:r>
            <w:fldChar w:fldCharType="separate"/>
          </w:r>
          <w:r>
            <w:rPr>
              <w:rFonts w:eastAsia="方正仿宋_GBK"/>
              <w:sz w:val="33"/>
              <w:szCs w:val="33"/>
            </w:rPr>
            <w:t>九、 国有资本经营预算支出决算情况说明</w:t>
          </w:r>
          <w:r>
            <w:rPr>
              <w:rFonts w:eastAsia="方正仿宋_GBK"/>
              <w:sz w:val="33"/>
              <w:szCs w:val="33"/>
            </w:rPr>
            <w:tab/>
          </w:r>
          <w:r>
            <w:rPr>
              <w:rFonts w:eastAsia="方正仿宋_GBK"/>
              <w:sz w:val="33"/>
              <w:szCs w:val="33"/>
            </w:rPr>
            <w:fldChar w:fldCharType="begin"/>
          </w:r>
          <w:r>
            <w:rPr>
              <w:rFonts w:eastAsia="方正仿宋_GBK"/>
              <w:sz w:val="33"/>
              <w:szCs w:val="33"/>
            </w:rPr>
            <w:instrText xml:space="preserve"> PAGEREF _Toc7266 \h </w:instrText>
          </w:r>
          <w:r>
            <w:rPr>
              <w:rFonts w:eastAsia="方正仿宋_GBK"/>
              <w:sz w:val="33"/>
              <w:szCs w:val="33"/>
            </w:rPr>
            <w:fldChar w:fldCharType="separate"/>
          </w:r>
          <w:r>
            <w:rPr>
              <w:rFonts w:eastAsia="方正仿宋_GBK"/>
              <w:sz w:val="33"/>
              <w:szCs w:val="33"/>
            </w:rPr>
            <w:t>13</w:t>
          </w:r>
          <w:r>
            <w:rPr>
              <w:rFonts w:eastAsia="方正仿宋_GBK"/>
              <w:sz w:val="33"/>
              <w:szCs w:val="33"/>
            </w:rPr>
            <w:fldChar w:fldCharType="end"/>
          </w:r>
          <w:r>
            <w:rPr>
              <w:rFonts w:eastAsia="方正仿宋_GBK"/>
              <w:sz w:val="33"/>
              <w:szCs w:val="33"/>
            </w:rPr>
            <w:fldChar w:fldCharType="end"/>
          </w:r>
        </w:p>
        <w:p>
          <w:pPr>
            <w:pStyle w:val="15"/>
            <w:tabs>
              <w:tab w:val="right" w:leader="dot" w:pos="8306"/>
              <w:tab w:val="clear" w:pos="8296"/>
            </w:tabs>
            <w:spacing w:line="576" w:lineRule="exact"/>
            <w:rPr>
              <w:sz w:val="33"/>
              <w:szCs w:val="33"/>
            </w:rPr>
          </w:pPr>
          <w:r>
            <w:fldChar w:fldCharType="begin"/>
          </w:r>
          <w:r>
            <w:instrText xml:space="preserve"> HYPERLINK \l "_Toc15094" </w:instrText>
          </w:r>
          <w:r>
            <w:fldChar w:fldCharType="separate"/>
          </w:r>
          <w:r>
            <w:rPr>
              <w:rFonts w:eastAsia="方正仿宋_GBK"/>
              <w:sz w:val="33"/>
              <w:szCs w:val="33"/>
            </w:rPr>
            <w:t>十、 其他重要事项的情况说明</w:t>
          </w:r>
          <w:r>
            <w:rPr>
              <w:rFonts w:eastAsia="方正仿宋_GBK"/>
              <w:sz w:val="33"/>
              <w:szCs w:val="33"/>
            </w:rPr>
            <w:tab/>
          </w:r>
          <w:r>
            <w:rPr>
              <w:rFonts w:eastAsia="方正仿宋_GBK"/>
              <w:sz w:val="33"/>
              <w:szCs w:val="33"/>
            </w:rPr>
            <w:fldChar w:fldCharType="begin"/>
          </w:r>
          <w:r>
            <w:rPr>
              <w:rFonts w:eastAsia="方正仿宋_GBK"/>
              <w:sz w:val="33"/>
              <w:szCs w:val="33"/>
            </w:rPr>
            <w:instrText xml:space="preserve"> PAGEREF _Toc15094 \h </w:instrText>
          </w:r>
          <w:r>
            <w:rPr>
              <w:rFonts w:eastAsia="方正仿宋_GBK"/>
              <w:sz w:val="33"/>
              <w:szCs w:val="33"/>
            </w:rPr>
            <w:fldChar w:fldCharType="separate"/>
          </w:r>
          <w:r>
            <w:rPr>
              <w:rFonts w:eastAsia="方正仿宋_GBK"/>
              <w:sz w:val="33"/>
              <w:szCs w:val="33"/>
            </w:rPr>
            <w:t>13</w:t>
          </w:r>
          <w:r>
            <w:rPr>
              <w:rFonts w:eastAsia="方正仿宋_GBK"/>
              <w:sz w:val="33"/>
              <w:szCs w:val="33"/>
            </w:rPr>
            <w:fldChar w:fldCharType="end"/>
          </w:r>
          <w:r>
            <w:rPr>
              <w:rFonts w:eastAsia="方正仿宋_GBK"/>
              <w:sz w:val="33"/>
              <w:szCs w:val="33"/>
            </w:rPr>
            <w:fldChar w:fldCharType="end"/>
          </w:r>
        </w:p>
        <w:p>
          <w:pPr>
            <w:pStyle w:val="14"/>
            <w:tabs>
              <w:tab w:val="right" w:leader="dot" w:pos="8306"/>
              <w:tab w:val="clear" w:pos="8296"/>
            </w:tabs>
            <w:spacing w:line="576" w:lineRule="exact"/>
            <w:rPr>
              <w:rFonts w:ascii="Times New Roman" w:hAnsi="Times New Roman"/>
              <w:sz w:val="33"/>
              <w:szCs w:val="33"/>
            </w:rPr>
          </w:pPr>
          <w:r>
            <w:fldChar w:fldCharType="begin"/>
          </w:r>
          <w:r>
            <w:instrText xml:space="preserve"> HYPERLINK \l "_Toc21646" </w:instrText>
          </w:r>
          <w:r>
            <w:fldChar w:fldCharType="separate"/>
          </w:r>
          <w:r>
            <w:rPr>
              <w:rFonts w:ascii="Times New Roman" w:hAnsi="Times New Roman" w:eastAsia="黑体"/>
              <w:sz w:val="33"/>
              <w:szCs w:val="33"/>
            </w:rPr>
            <w:t>第三部分 名词解释</w:t>
          </w:r>
          <w:r>
            <w:rPr>
              <w:rFonts w:ascii="Times New Roman" w:hAnsi="Times New Roman"/>
              <w:sz w:val="33"/>
              <w:szCs w:val="33"/>
            </w:rPr>
            <w:tab/>
          </w:r>
          <w:r>
            <w:rPr>
              <w:rFonts w:ascii="Times New Roman" w:hAnsi="Times New Roman"/>
              <w:sz w:val="33"/>
              <w:szCs w:val="33"/>
            </w:rPr>
            <w:fldChar w:fldCharType="begin"/>
          </w:r>
          <w:r>
            <w:rPr>
              <w:rFonts w:ascii="Times New Roman" w:hAnsi="Times New Roman"/>
              <w:sz w:val="33"/>
              <w:szCs w:val="33"/>
            </w:rPr>
            <w:instrText xml:space="preserve"> PAGEREF _Toc21646 \h </w:instrText>
          </w:r>
          <w:r>
            <w:rPr>
              <w:rFonts w:ascii="Times New Roman" w:hAnsi="Times New Roman"/>
              <w:sz w:val="33"/>
              <w:szCs w:val="33"/>
            </w:rPr>
            <w:fldChar w:fldCharType="separate"/>
          </w:r>
          <w:r>
            <w:rPr>
              <w:rFonts w:ascii="Times New Roman" w:hAnsi="Times New Roman"/>
              <w:sz w:val="33"/>
              <w:szCs w:val="33"/>
            </w:rPr>
            <w:t>15</w:t>
          </w:r>
          <w:r>
            <w:rPr>
              <w:rFonts w:ascii="Times New Roman" w:hAnsi="Times New Roman"/>
              <w:sz w:val="33"/>
              <w:szCs w:val="33"/>
            </w:rPr>
            <w:fldChar w:fldCharType="end"/>
          </w:r>
          <w:r>
            <w:rPr>
              <w:rFonts w:ascii="Times New Roman" w:hAnsi="Times New Roman"/>
              <w:sz w:val="33"/>
              <w:szCs w:val="33"/>
            </w:rPr>
            <w:fldChar w:fldCharType="end"/>
          </w:r>
        </w:p>
        <w:p>
          <w:pPr>
            <w:pStyle w:val="14"/>
            <w:tabs>
              <w:tab w:val="right" w:leader="dot" w:pos="8306"/>
              <w:tab w:val="clear" w:pos="8296"/>
            </w:tabs>
            <w:spacing w:line="576" w:lineRule="exact"/>
            <w:rPr>
              <w:rFonts w:ascii="Times New Roman" w:hAnsi="Times New Roman"/>
              <w:sz w:val="33"/>
              <w:szCs w:val="33"/>
            </w:rPr>
          </w:pPr>
          <w:r>
            <w:fldChar w:fldCharType="begin"/>
          </w:r>
          <w:r>
            <w:instrText xml:space="preserve"> HYPERLINK \l "_Toc16913" </w:instrText>
          </w:r>
          <w:r>
            <w:fldChar w:fldCharType="separate"/>
          </w:r>
          <w:r>
            <w:rPr>
              <w:rFonts w:ascii="Times New Roman" w:hAnsi="Times New Roman" w:eastAsia="黑体"/>
              <w:sz w:val="33"/>
              <w:szCs w:val="33"/>
            </w:rPr>
            <w:t>第四部分 附件</w:t>
          </w:r>
          <w:r>
            <w:rPr>
              <w:rFonts w:ascii="Times New Roman" w:hAnsi="Times New Roman"/>
              <w:sz w:val="33"/>
              <w:szCs w:val="33"/>
            </w:rPr>
            <w:tab/>
          </w:r>
          <w:r>
            <w:rPr>
              <w:rFonts w:ascii="Times New Roman" w:hAnsi="Times New Roman"/>
              <w:sz w:val="33"/>
              <w:szCs w:val="33"/>
            </w:rPr>
            <w:fldChar w:fldCharType="begin"/>
          </w:r>
          <w:r>
            <w:rPr>
              <w:rFonts w:ascii="Times New Roman" w:hAnsi="Times New Roman"/>
              <w:sz w:val="33"/>
              <w:szCs w:val="33"/>
            </w:rPr>
            <w:instrText xml:space="preserve"> PAGEREF _Toc16913 \h </w:instrText>
          </w:r>
          <w:r>
            <w:rPr>
              <w:rFonts w:ascii="Times New Roman" w:hAnsi="Times New Roman"/>
              <w:sz w:val="33"/>
              <w:szCs w:val="33"/>
            </w:rPr>
            <w:fldChar w:fldCharType="separate"/>
          </w:r>
          <w:r>
            <w:rPr>
              <w:rFonts w:ascii="Times New Roman" w:hAnsi="Times New Roman"/>
              <w:sz w:val="33"/>
              <w:szCs w:val="33"/>
            </w:rPr>
            <w:t>18</w:t>
          </w:r>
          <w:r>
            <w:rPr>
              <w:rFonts w:ascii="Times New Roman" w:hAnsi="Times New Roman"/>
              <w:sz w:val="33"/>
              <w:szCs w:val="33"/>
            </w:rPr>
            <w:fldChar w:fldCharType="end"/>
          </w:r>
          <w:r>
            <w:rPr>
              <w:rFonts w:ascii="Times New Roman" w:hAnsi="Times New Roman"/>
              <w:sz w:val="33"/>
              <w:szCs w:val="33"/>
            </w:rPr>
            <w:fldChar w:fldCharType="end"/>
          </w:r>
        </w:p>
        <w:p>
          <w:pPr>
            <w:pStyle w:val="14"/>
            <w:tabs>
              <w:tab w:val="right" w:leader="dot" w:pos="8306"/>
              <w:tab w:val="clear" w:pos="8296"/>
            </w:tabs>
            <w:spacing w:line="576" w:lineRule="exact"/>
            <w:rPr>
              <w:rFonts w:ascii="Times New Roman" w:hAnsi="Times New Roman"/>
              <w:sz w:val="33"/>
              <w:szCs w:val="33"/>
            </w:rPr>
          </w:pPr>
          <w:r>
            <w:fldChar w:fldCharType="begin"/>
          </w:r>
          <w:r>
            <w:instrText xml:space="preserve"> HYPERLINK \l "_Toc18012" </w:instrText>
          </w:r>
          <w:r>
            <w:fldChar w:fldCharType="separate"/>
          </w:r>
          <w:r>
            <w:rPr>
              <w:rFonts w:ascii="Times New Roman" w:hAnsi="Times New Roman" w:eastAsia="黑体"/>
              <w:sz w:val="33"/>
              <w:szCs w:val="33"/>
            </w:rPr>
            <w:t>第五部分 附表</w:t>
          </w:r>
          <w:r>
            <w:rPr>
              <w:rFonts w:ascii="Times New Roman" w:hAnsi="Times New Roman"/>
              <w:sz w:val="33"/>
              <w:szCs w:val="33"/>
            </w:rPr>
            <w:tab/>
          </w:r>
          <w:r>
            <w:rPr>
              <w:rFonts w:ascii="Times New Roman" w:hAnsi="Times New Roman"/>
              <w:sz w:val="33"/>
              <w:szCs w:val="33"/>
            </w:rPr>
            <w:fldChar w:fldCharType="begin"/>
          </w:r>
          <w:r>
            <w:rPr>
              <w:rFonts w:ascii="Times New Roman" w:hAnsi="Times New Roman"/>
              <w:sz w:val="33"/>
              <w:szCs w:val="33"/>
            </w:rPr>
            <w:instrText xml:space="preserve"> PAGEREF _Toc18012 \h </w:instrText>
          </w:r>
          <w:r>
            <w:rPr>
              <w:rFonts w:ascii="Times New Roman" w:hAnsi="Times New Roman"/>
              <w:sz w:val="33"/>
              <w:szCs w:val="33"/>
            </w:rPr>
            <w:fldChar w:fldCharType="separate"/>
          </w:r>
          <w:r>
            <w:rPr>
              <w:rFonts w:ascii="Times New Roman" w:hAnsi="Times New Roman"/>
              <w:sz w:val="33"/>
              <w:szCs w:val="33"/>
            </w:rPr>
            <w:t>19</w:t>
          </w:r>
          <w:r>
            <w:rPr>
              <w:rFonts w:ascii="Times New Roman" w:hAnsi="Times New Roman"/>
              <w:sz w:val="33"/>
              <w:szCs w:val="33"/>
            </w:rPr>
            <w:fldChar w:fldCharType="end"/>
          </w:r>
          <w:r>
            <w:rPr>
              <w:rFonts w:ascii="Times New Roman" w:hAnsi="Times New Roman"/>
              <w:sz w:val="33"/>
              <w:szCs w:val="33"/>
            </w:rPr>
            <w:fldChar w:fldCharType="end"/>
          </w:r>
        </w:p>
        <w:p>
          <w:pPr>
            <w:pStyle w:val="15"/>
            <w:tabs>
              <w:tab w:val="right" w:leader="dot" w:pos="8306"/>
              <w:tab w:val="clear" w:pos="8296"/>
            </w:tabs>
            <w:spacing w:line="576" w:lineRule="exact"/>
            <w:rPr>
              <w:rFonts w:eastAsia="方正仿宋_GBK"/>
              <w:sz w:val="33"/>
              <w:szCs w:val="33"/>
            </w:rPr>
          </w:pPr>
          <w:r>
            <w:fldChar w:fldCharType="begin"/>
          </w:r>
          <w:r>
            <w:instrText xml:space="preserve"> HYPERLINK \l "_Toc27714" </w:instrText>
          </w:r>
          <w:r>
            <w:fldChar w:fldCharType="separate"/>
          </w:r>
          <w:r>
            <w:rPr>
              <w:rFonts w:eastAsia="方正仿宋_GBK"/>
              <w:sz w:val="33"/>
              <w:szCs w:val="33"/>
            </w:rPr>
            <w:t>一、收入支出决算总表</w:t>
          </w:r>
          <w:r>
            <w:rPr>
              <w:rFonts w:eastAsia="方正仿宋_GBK"/>
              <w:sz w:val="33"/>
              <w:szCs w:val="33"/>
            </w:rPr>
            <w:tab/>
          </w:r>
          <w:r>
            <w:rPr>
              <w:rFonts w:eastAsia="方正仿宋_GBK"/>
              <w:sz w:val="33"/>
              <w:szCs w:val="33"/>
            </w:rPr>
            <w:fldChar w:fldCharType="begin"/>
          </w:r>
          <w:r>
            <w:rPr>
              <w:rFonts w:eastAsia="方正仿宋_GBK"/>
              <w:sz w:val="33"/>
              <w:szCs w:val="33"/>
            </w:rPr>
            <w:instrText xml:space="preserve"> PAGEREF _Toc27714 \h </w:instrText>
          </w:r>
          <w:r>
            <w:rPr>
              <w:rFonts w:eastAsia="方正仿宋_GBK"/>
              <w:sz w:val="33"/>
              <w:szCs w:val="33"/>
            </w:rPr>
            <w:fldChar w:fldCharType="separate"/>
          </w:r>
          <w:r>
            <w:rPr>
              <w:rFonts w:eastAsia="方正仿宋_GBK"/>
              <w:sz w:val="33"/>
              <w:szCs w:val="33"/>
            </w:rPr>
            <w:t>19</w:t>
          </w:r>
          <w:r>
            <w:rPr>
              <w:rFonts w:eastAsia="方正仿宋_GBK"/>
              <w:sz w:val="33"/>
              <w:szCs w:val="33"/>
            </w:rPr>
            <w:fldChar w:fldCharType="end"/>
          </w:r>
          <w:r>
            <w:rPr>
              <w:rFonts w:eastAsia="方正仿宋_GBK"/>
              <w:sz w:val="33"/>
              <w:szCs w:val="33"/>
            </w:rPr>
            <w:fldChar w:fldCharType="end"/>
          </w:r>
        </w:p>
        <w:p>
          <w:pPr>
            <w:pStyle w:val="15"/>
            <w:tabs>
              <w:tab w:val="right" w:leader="dot" w:pos="8306"/>
              <w:tab w:val="clear" w:pos="8296"/>
            </w:tabs>
            <w:spacing w:line="576" w:lineRule="exact"/>
            <w:rPr>
              <w:rFonts w:eastAsia="方正仿宋_GBK"/>
              <w:sz w:val="33"/>
              <w:szCs w:val="33"/>
            </w:rPr>
          </w:pPr>
          <w:r>
            <w:fldChar w:fldCharType="begin"/>
          </w:r>
          <w:r>
            <w:instrText xml:space="preserve"> HYPERLINK \l "_Toc18276" </w:instrText>
          </w:r>
          <w:r>
            <w:fldChar w:fldCharType="separate"/>
          </w:r>
          <w:r>
            <w:rPr>
              <w:rFonts w:eastAsia="方正仿宋_GBK"/>
              <w:sz w:val="33"/>
              <w:szCs w:val="33"/>
            </w:rPr>
            <w:t>二、收入决算表</w:t>
          </w:r>
          <w:r>
            <w:rPr>
              <w:rFonts w:eastAsia="方正仿宋_GBK"/>
              <w:sz w:val="33"/>
              <w:szCs w:val="33"/>
            </w:rPr>
            <w:tab/>
          </w:r>
          <w:r>
            <w:rPr>
              <w:rFonts w:eastAsia="方正仿宋_GBK"/>
              <w:sz w:val="33"/>
              <w:szCs w:val="33"/>
            </w:rPr>
            <w:fldChar w:fldCharType="begin"/>
          </w:r>
          <w:r>
            <w:rPr>
              <w:rFonts w:eastAsia="方正仿宋_GBK"/>
              <w:sz w:val="33"/>
              <w:szCs w:val="33"/>
            </w:rPr>
            <w:instrText xml:space="preserve"> PAGEREF _Toc18276 \h </w:instrText>
          </w:r>
          <w:r>
            <w:rPr>
              <w:rFonts w:eastAsia="方正仿宋_GBK"/>
              <w:sz w:val="33"/>
              <w:szCs w:val="33"/>
            </w:rPr>
            <w:fldChar w:fldCharType="separate"/>
          </w:r>
          <w:r>
            <w:rPr>
              <w:rFonts w:eastAsia="方正仿宋_GBK"/>
              <w:sz w:val="33"/>
              <w:szCs w:val="33"/>
            </w:rPr>
            <w:t>19</w:t>
          </w:r>
          <w:r>
            <w:rPr>
              <w:rFonts w:eastAsia="方正仿宋_GBK"/>
              <w:sz w:val="33"/>
              <w:szCs w:val="33"/>
            </w:rPr>
            <w:fldChar w:fldCharType="end"/>
          </w:r>
          <w:r>
            <w:rPr>
              <w:rFonts w:eastAsia="方正仿宋_GBK"/>
              <w:sz w:val="33"/>
              <w:szCs w:val="33"/>
            </w:rPr>
            <w:fldChar w:fldCharType="end"/>
          </w:r>
        </w:p>
        <w:p>
          <w:pPr>
            <w:pStyle w:val="15"/>
            <w:tabs>
              <w:tab w:val="right" w:leader="dot" w:pos="8306"/>
              <w:tab w:val="clear" w:pos="8296"/>
            </w:tabs>
            <w:spacing w:line="576" w:lineRule="exact"/>
            <w:rPr>
              <w:rFonts w:eastAsia="方正仿宋_GBK"/>
              <w:sz w:val="33"/>
              <w:szCs w:val="33"/>
            </w:rPr>
          </w:pPr>
          <w:r>
            <w:fldChar w:fldCharType="begin"/>
          </w:r>
          <w:r>
            <w:instrText xml:space="preserve"> HYPERLINK \l "_Toc3379" </w:instrText>
          </w:r>
          <w:r>
            <w:fldChar w:fldCharType="separate"/>
          </w:r>
          <w:r>
            <w:rPr>
              <w:rFonts w:eastAsia="方正仿宋_GBK"/>
              <w:sz w:val="33"/>
              <w:szCs w:val="33"/>
            </w:rPr>
            <w:t>三、支出决算表</w:t>
          </w:r>
          <w:r>
            <w:rPr>
              <w:rFonts w:eastAsia="方正仿宋_GBK"/>
              <w:sz w:val="33"/>
              <w:szCs w:val="33"/>
            </w:rPr>
            <w:tab/>
          </w:r>
          <w:r>
            <w:rPr>
              <w:rFonts w:eastAsia="方正仿宋_GBK"/>
              <w:sz w:val="33"/>
              <w:szCs w:val="33"/>
            </w:rPr>
            <w:fldChar w:fldCharType="begin"/>
          </w:r>
          <w:r>
            <w:rPr>
              <w:rFonts w:eastAsia="方正仿宋_GBK"/>
              <w:sz w:val="33"/>
              <w:szCs w:val="33"/>
            </w:rPr>
            <w:instrText xml:space="preserve"> PAGEREF _Toc3379 \h </w:instrText>
          </w:r>
          <w:r>
            <w:rPr>
              <w:rFonts w:eastAsia="方正仿宋_GBK"/>
              <w:sz w:val="33"/>
              <w:szCs w:val="33"/>
            </w:rPr>
            <w:fldChar w:fldCharType="separate"/>
          </w:r>
          <w:r>
            <w:rPr>
              <w:rFonts w:eastAsia="方正仿宋_GBK"/>
              <w:sz w:val="33"/>
              <w:szCs w:val="33"/>
            </w:rPr>
            <w:t>19</w:t>
          </w:r>
          <w:r>
            <w:rPr>
              <w:rFonts w:eastAsia="方正仿宋_GBK"/>
              <w:sz w:val="33"/>
              <w:szCs w:val="33"/>
            </w:rPr>
            <w:fldChar w:fldCharType="end"/>
          </w:r>
          <w:r>
            <w:rPr>
              <w:rFonts w:eastAsia="方正仿宋_GBK"/>
              <w:sz w:val="33"/>
              <w:szCs w:val="33"/>
            </w:rPr>
            <w:fldChar w:fldCharType="end"/>
          </w:r>
        </w:p>
        <w:p>
          <w:pPr>
            <w:pStyle w:val="15"/>
            <w:tabs>
              <w:tab w:val="right" w:leader="dot" w:pos="8306"/>
              <w:tab w:val="clear" w:pos="8296"/>
            </w:tabs>
            <w:spacing w:line="576" w:lineRule="exact"/>
            <w:rPr>
              <w:rFonts w:eastAsia="方正仿宋_GBK"/>
              <w:sz w:val="33"/>
              <w:szCs w:val="33"/>
            </w:rPr>
          </w:pPr>
          <w:r>
            <w:fldChar w:fldCharType="begin"/>
          </w:r>
          <w:r>
            <w:instrText xml:space="preserve"> HYPERLINK \l "_Toc15638" </w:instrText>
          </w:r>
          <w:r>
            <w:fldChar w:fldCharType="separate"/>
          </w:r>
          <w:r>
            <w:rPr>
              <w:rFonts w:eastAsia="方正仿宋_GBK"/>
              <w:sz w:val="33"/>
              <w:szCs w:val="33"/>
            </w:rPr>
            <w:t>四、财政拨款收入支出决算总表</w:t>
          </w:r>
          <w:r>
            <w:rPr>
              <w:rFonts w:eastAsia="方正仿宋_GBK"/>
              <w:sz w:val="33"/>
              <w:szCs w:val="33"/>
            </w:rPr>
            <w:tab/>
          </w:r>
          <w:r>
            <w:rPr>
              <w:rFonts w:eastAsia="方正仿宋_GBK"/>
              <w:sz w:val="33"/>
              <w:szCs w:val="33"/>
            </w:rPr>
            <w:fldChar w:fldCharType="begin"/>
          </w:r>
          <w:r>
            <w:rPr>
              <w:rFonts w:eastAsia="方正仿宋_GBK"/>
              <w:sz w:val="33"/>
              <w:szCs w:val="33"/>
            </w:rPr>
            <w:instrText xml:space="preserve"> PAGEREF _Toc15638 \h </w:instrText>
          </w:r>
          <w:r>
            <w:rPr>
              <w:rFonts w:eastAsia="方正仿宋_GBK"/>
              <w:sz w:val="33"/>
              <w:szCs w:val="33"/>
            </w:rPr>
            <w:fldChar w:fldCharType="separate"/>
          </w:r>
          <w:r>
            <w:rPr>
              <w:rFonts w:eastAsia="方正仿宋_GBK"/>
              <w:sz w:val="33"/>
              <w:szCs w:val="33"/>
            </w:rPr>
            <w:t>19</w:t>
          </w:r>
          <w:r>
            <w:rPr>
              <w:rFonts w:eastAsia="方正仿宋_GBK"/>
              <w:sz w:val="33"/>
              <w:szCs w:val="33"/>
            </w:rPr>
            <w:fldChar w:fldCharType="end"/>
          </w:r>
          <w:r>
            <w:rPr>
              <w:rFonts w:eastAsia="方正仿宋_GBK"/>
              <w:sz w:val="33"/>
              <w:szCs w:val="33"/>
            </w:rPr>
            <w:fldChar w:fldCharType="end"/>
          </w:r>
        </w:p>
        <w:p>
          <w:pPr>
            <w:pStyle w:val="15"/>
            <w:tabs>
              <w:tab w:val="right" w:leader="dot" w:pos="8306"/>
              <w:tab w:val="clear" w:pos="8296"/>
            </w:tabs>
            <w:spacing w:line="576" w:lineRule="exact"/>
            <w:rPr>
              <w:rFonts w:eastAsia="方正仿宋_GBK"/>
              <w:sz w:val="33"/>
              <w:szCs w:val="33"/>
            </w:rPr>
          </w:pPr>
          <w:r>
            <w:fldChar w:fldCharType="begin"/>
          </w:r>
          <w:r>
            <w:instrText xml:space="preserve"> HYPERLINK \l "_Toc21672" </w:instrText>
          </w:r>
          <w:r>
            <w:fldChar w:fldCharType="separate"/>
          </w:r>
          <w:r>
            <w:rPr>
              <w:rFonts w:eastAsia="方正仿宋_GBK"/>
              <w:sz w:val="33"/>
              <w:szCs w:val="33"/>
            </w:rPr>
            <w:t>五、财政拨款支出决算明细表</w:t>
          </w:r>
          <w:r>
            <w:rPr>
              <w:rFonts w:eastAsia="方正仿宋_GBK"/>
              <w:sz w:val="33"/>
              <w:szCs w:val="33"/>
            </w:rPr>
            <w:tab/>
          </w:r>
          <w:r>
            <w:rPr>
              <w:rFonts w:eastAsia="方正仿宋_GBK"/>
              <w:sz w:val="33"/>
              <w:szCs w:val="33"/>
            </w:rPr>
            <w:fldChar w:fldCharType="begin"/>
          </w:r>
          <w:r>
            <w:rPr>
              <w:rFonts w:eastAsia="方正仿宋_GBK"/>
              <w:sz w:val="33"/>
              <w:szCs w:val="33"/>
            </w:rPr>
            <w:instrText xml:space="preserve"> PAGEREF _Toc21672 \h </w:instrText>
          </w:r>
          <w:r>
            <w:rPr>
              <w:rFonts w:eastAsia="方正仿宋_GBK"/>
              <w:sz w:val="33"/>
              <w:szCs w:val="33"/>
            </w:rPr>
            <w:fldChar w:fldCharType="separate"/>
          </w:r>
          <w:r>
            <w:rPr>
              <w:rFonts w:eastAsia="方正仿宋_GBK"/>
              <w:sz w:val="33"/>
              <w:szCs w:val="33"/>
            </w:rPr>
            <w:t>19</w:t>
          </w:r>
          <w:r>
            <w:rPr>
              <w:rFonts w:eastAsia="方正仿宋_GBK"/>
              <w:sz w:val="33"/>
              <w:szCs w:val="33"/>
            </w:rPr>
            <w:fldChar w:fldCharType="end"/>
          </w:r>
          <w:r>
            <w:rPr>
              <w:rFonts w:eastAsia="方正仿宋_GBK"/>
              <w:sz w:val="33"/>
              <w:szCs w:val="33"/>
            </w:rPr>
            <w:fldChar w:fldCharType="end"/>
          </w:r>
        </w:p>
        <w:p>
          <w:pPr>
            <w:pStyle w:val="15"/>
            <w:tabs>
              <w:tab w:val="right" w:leader="dot" w:pos="8306"/>
              <w:tab w:val="clear" w:pos="8296"/>
            </w:tabs>
            <w:spacing w:line="576" w:lineRule="exact"/>
            <w:rPr>
              <w:rFonts w:eastAsia="方正仿宋_GBK"/>
              <w:sz w:val="33"/>
              <w:szCs w:val="33"/>
            </w:rPr>
          </w:pPr>
          <w:r>
            <w:fldChar w:fldCharType="begin"/>
          </w:r>
          <w:r>
            <w:instrText xml:space="preserve"> HYPERLINK \l "_Toc22187" </w:instrText>
          </w:r>
          <w:r>
            <w:fldChar w:fldCharType="separate"/>
          </w:r>
          <w:r>
            <w:rPr>
              <w:rFonts w:eastAsia="方正仿宋_GBK"/>
              <w:sz w:val="33"/>
              <w:szCs w:val="33"/>
            </w:rPr>
            <w:t>六、一般公共预算财政拨款支出决算表</w:t>
          </w:r>
          <w:r>
            <w:rPr>
              <w:rFonts w:eastAsia="方正仿宋_GBK"/>
              <w:sz w:val="33"/>
              <w:szCs w:val="33"/>
            </w:rPr>
            <w:tab/>
          </w:r>
          <w:r>
            <w:rPr>
              <w:rFonts w:eastAsia="方正仿宋_GBK"/>
              <w:sz w:val="33"/>
              <w:szCs w:val="33"/>
            </w:rPr>
            <w:fldChar w:fldCharType="begin"/>
          </w:r>
          <w:r>
            <w:rPr>
              <w:rFonts w:eastAsia="方正仿宋_GBK"/>
              <w:sz w:val="33"/>
              <w:szCs w:val="33"/>
            </w:rPr>
            <w:instrText xml:space="preserve"> PAGEREF _Toc22187 \h </w:instrText>
          </w:r>
          <w:r>
            <w:rPr>
              <w:rFonts w:eastAsia="方正仿宋_GBK"/>
              <w:sz w:val="33"/>
              <w:szCs w:val="33"/>
            </w:rPr>
            <w:fldChar w:fldCharType="separate"/>
          </w:r>
          <w:r>
            <w:rPr>
              <w:rFonts w:eastAsia="方正仿宋_GBK"/>
              <w:sz w:val="33"/>
              <w:szCs w:val="33"/>
            </w:rPr>
            <w:t>19</w:t>
          </w:r>
          <w:r>
            <w:rPr>
              <w:rFonts w:eastAsia="方正仿宋_GBK"/>
              <w:sz w:val="33"/>
              <w:szCs w:val="33"/>
            </w:rPr>
            <w:fldChar w:fldCharType="end"/>
          </w:r>
          <w:r>
            <w:rPr>
              <w:rFonts w:eastAsia="方正仿宋_GBK"/>
              <w:sz w:val="33"/>
              <w:szCs w:val="33"/>
            </w:rPr>
            <w:fldChar w:fldCharType="end"/>
          </w:r>
        </w:p>
        <w:p>
          <w:pPr>
            <w:pStyle w:val="15"/>
            <w:tabs>
              <w:tab w:val="right" w:leader="dot" w:pos="8306"/>
              <w:tab w:val="clear" w:pos="8296"/>
            </w:tabs>
            <w:spacing w:line="576" w:lineRule="exact"/>
            <w:rPr>
              <w:rFonts w:eastAsia="方正仿宋_GBK"/>
              <w:sz w:val="33"/>
              <w:szCs w:val="33"/>
            </w:rPr>
          </w:pPr>
          <w:r>
            <w:fldChar w:fldCharType="begin"/>
          </w:r>
          <w:r>
            <w:instrText xml:space="preserve"> HYPERLINK \l "_Toc31526" </w:instrText>
          </w:r>
          <w:r>
            <w:fldChar w:fldCharType="separate"/>
          </w:r>
          <w:r>
            <w:rPr>
              <w:rFonts w:eastAsia="方正仿宋_GBK"/>
              <w:sz w:val="33"/>
              <w:szCs w:val="33"/>
            </w:rPr>
            <w:t>七、一般公共预算财政拨款支出决算明细表</w:t>
          </w:r>
          <w:r>
            <w:rPr>
              <w:rFonts w:eastAsia="方正仿宋_GBK"/>
              <w:sz w:val="33"/>
              <w:szCs w:val="33"/>
            </w:rPr>
            <w:tab/>
          </w:r>
          <w:r>
            <w:rPr>
              <w:rFonts w:eastAsia="方正仿宋_GBK"/>
              <w:sz w:val="33"/>
              <w:szCs w:val="33"/>
            </w:rPr>
            <w:fldChar w:fldCharType="begin"/>
          </w:r>
          <w:r>
            <w:rPr>
              <w:rFonts w:eastAsia="方正仿宋_GBK"/>
              <w:sz w:val="33"/>
              <w:szCs w:val="33"/>
            </w:rPr>
            <w:instrText xml:space="preserve"> PAGEREF _Toc31526 \h </w:instrText>
          </w:r>
          <w:r>
            <w:rPr>
              <w:rFonts w:eastAsia="方正仿宋_GBK"/>
              <w:sz w:val="33"/>
              <w:szCs w:val="33"/>
            </w:rPr>
            <w:fldChar w:fldCharType="separate"/>
          </w:r>
          <w:r>
            <w:rPr>
              <w:rFonts w:eastAsia="方正仿宋_GBK"/>
              <w:sz w:val="33"/>
              <w:szCs w:val="33"/>
            </w:rPr>
            <w:t>19</w:t>
          </w:r>
          <w:r>
            <w:rPr>
              <w:rFonts w:eastAsia="方正仿宋_GBK"/>
              <w:sz w:val="33"/>
              <w:szCs w:val="33"/>
            </w:rPr>
            <w:fldChar w:fldCharType="end"/>
          </w:r>
          <w:r>
            <w:rPr>
              <w:rFonts w:eastAsia="方正仿宋_GBK"/>
              <w:sz w:val="33"/>
              <w:szCs w:val="33"/>
            </w:rPr>
            <w:fldChar w:fldCharType="end"/>
          </w:r>
        </w:p>
        <w:p>
          <w:pPr>
            <w:pStyle w:val="15"/>
            <w:tabs>
              <w:tab w:val="right" w:leader="dot" w:pos="8306"/>
              <w:tab w:val="clear" w:pos="8296"/>
            </w:tabs>
            <w:spacing w:line="576" w:lineRule="exact"/>
            <w:rPr>
              <w:rFonts w:eastAsia="方正仿宋_GBK"/>
              <w:sz w:val="33"/>
              <w:szCs w:val="33"/>
            </w:rPr>
          </w:pPr>
          <w:r>
            <w:fldChar w:fldCharType="begin"/>
          </w:r>
          <w:r>
            <w:instrText xml:space="preserve"> HYPERLINK \l "_Toc16411" </w:instrText>
          </w:r>
          <w:r>
            <w:fldChar w:fldCharType="separate"/>
          </w:r>
          <w:r>
            <w:rPr>
              <w:rFonts w:eastAsia="方正仿宋_GBK"/>
              <w:sz w:val="33"/>
              <w:szCs w:val="33"/>
            </w:rPr>
            <w:t>八、一般公共预算财政拨款基本支出决算表</w:t>
          </w:r>
          <w:r>
            <w:rPr>
              <w:rFonts w:eastAsia="方正仿宋_GBK"/>
              <w:sz w:val="33"/>
              <w:szCs w:val="33"/>
            </w:rPr>
            <w:tab/>
          </w:r>
          <w:r>
            <w:rPr>
              <w:rFonts w:eastAsia="方正仿宋_GBK"/>
              <w:sz w:val="33"/>
              <w:szCs w:val="33"/>
            </w:rPr>
            <w:fldChar w:fldCharType="begin"/>
          </w:r>
          <w:r>
            <w:rPr>
              <w:rFonts w:eastAsia="方正仿宋_GBK"/>
              <w:sz w:val="33"/>
              <w:szCs w:val="33"/>
            </w:rPr>
            <w:instrText xml:space="preserve"> PAGEREF _Toc16411 \h </w:instrText>
          </w:r>
          <w:r>
            <w:rPr>
              <w:rFonts w:eastAsia="方正仿宋_GBK"/>
              <w:sz w:val="33"/>
              <w:szCs w:val="33"/>
            </w:rPr>
            <w:fldChar w:fldCharType="separate"/>
          </w:r>
          <w:r>
            <w:rPr>
              <w:rFonts w:eastAsia="方正仿宋_GBK"/>
              <w:sz w:val="33"/>
              <w:szCs w:val="33"/>
            </w:rPr>
            <w:t>19</w:t>
          </w:r>
          <w:r>
            <w:rPr>
              <w:rFonts w:eastAsia="方正仿宋_GBK"/>
              <w:sz w:val="33"/>
              <w:szCs w:val="33"/>
            </w:rPr>
            <w:fldChar w:fldCharType="end"/>
          </w:r>
          <w:r>
            <w:rPr>
              <w:rFonts w:eastAsia="方正仿宋_GBK"/>
              <w:sz w:val="33"/>
              <w:szCs w:val="33"/>
            </w:rPr>
            <w:fldChar w:fldCharType="end"/>
          </w:r>
        </w:p>
        <w:p>
          <w:pPr>
            <w:pStyle w:val="15"/>
            <w:tabs>
              <w:tab w:val="right" w:leader="dot" w:pos="8306"/>
              <w:tab w:val="clear" w:pos="8296"/>
            </w:tabs>
            <w:spacing w:line="576" w:lineRule="exact"/>
            <w:rPr>
              <w:rFonts w:eastAsia="方正仿宋_GBK"/>
              <w:sz w:val="33"/>
              <w:szCs w:val="33"/>
            </w:rPr>
          </w:pPr>
          <w:r>
            <w:fldChar w:fldCharType="begin"/>
          </w:r>
          <w:r>
            <w:instrText xml:space="preserve"> HYPERLINK \l "_Toc1087" </w:instrText>
          </w:r>
          <w:r>
            <w:fldChar w:fldCharType="separate"/>
          </w:r>
          <w:r>
            <w:rPr>
              <w:rFonts w:eastAsia="方正仿宋_GBK"/>
              <w:sz w:val="33"/>
              <w:szCs w:val="33"/>
            </w:rPr>
            <w:t>九、一般公共预算财政拨款项目支出决算表</w:t>
          </w:r>
          <w:r>
            <w:rPr>
              <w:rFonts w:eastAsia="方正仿宋_GBK"/>
              <w:sz w:val="33"/>
              <w:szCs w:val="33"/>
            </w:rPr>
            <w:tab/>
          </w:r>
          <w:r>
            <w:rPr>
              <w:rFonts w:eastAsia="方正仿宋_GBK"/>
              <w:sz w:val="33"/>
              <w:szCs w:val="33"/>
            </w:rPr>
            <w:fldChar w:fldCharType="begin"/>
          </w:r>
          <w:r>
            <w:rPr>
              <w:rFonts w:eastAsia="方正仿宋_GBK"/>
              <w:sz w:val="33"/>
              <w:szCs w:val="33"/>
            </w:rPr>
            <w:instrText xml:space="preserve"> PAGEREF _Toc1087 \h </w:instrText>
          </w:r>
          <w:r>
            <w:rPr>
              <w:rFonts w:eastAsia="方正仿宋_GBK"/>
              <w:sz w:val="33"/>
              <w:szCs w:val="33"/>
            </w:rPr>
            <w:fldChar w:fldCharType="separate"/>
          </w:r>
          <w:r>
            <w:rPr>
              <w:rFonts w:eastAsia="方正仿宋_GBK"/>
              <w:sz w:val="33"/>
              <w:szCs w:val="33"/>
            </w:rPr>
            <w:t>19</w:t>
          </w:r>
          <w:r>
            <w:rPr>
              <w:rFonts w:eastAsia="方正仿宋_GBK"/>
              <w:sz w:val="33"/>
              <w:szCs w:val="33"/>
            </w:rPr>
            <w:fldChar w:fldCharType="end"/>
          </w:r>
          <w:r>
            <w:rPr>
              <w:rFonts w:eastAsia="方正仿宋_GBK"/>
              <w:sz w:val="33"/>
              <w:szCs w:val="33"/>
            </w:rPr>
            <w:fldChar w:fldCharType="end"/>
          </w:r>
        </w:p>
        <w:p>
          <w:pPr>
            <w:pStyle w:val="15"/>
            <w:tabs>
              <w:tab w:val="right" w:leader="dot" w:pos="8306"/>
              <w:tab w:val="clear" w:pos="8296"/>
            </w:tabs>
            <w:spacing w:line="576" w:lineRule="exact"/>
            <w:rPr>
              <w:rFonts w:eastAsia="方正仿宋_GBK"/>
              <w:sz w:val="33"/>
              <w:szCs w:val="33"/>
            </w:rPr>
          </w:pPr>
          <w:r>
            <w:fldChar w:fldCharType="begin"/>
          </w:r>
          <w:r>
            <w:instrText xml:space="preserve"> HYPERLINK \l "_Toc16444" </w:instrText>
          </w:r>
          <w:r>
            <w:fldChar w:fldCharType="separate"/>
          </w:r>
          <w:r>
            <w:rPr>
              <w:rFonts w:eastAsia="方正仿宋_GBK"/>
              <w:sz w:val="33"/>
              <w:szCs w:val="33"/>
            </w:rPr>
            <w:t>十、政府性基金预算财政拨款收入支出决算表</w:t>
          </w:r>
          <w:r>
            <w:rPr>
              <w:rFonts w:eastAsia="方正仿宋_GBK"/>
              <w:sz w:val="33"/>
              <w:szCs w:val="33"/>
            </w:rPr>
            <w:tab/>
          </w:r>
          <w:r>
            <w:rPr>
              <w:rFonts w:eastAsia="方正仿宋_GBK"/>
              <w:sz w:val="33"/>
              <w:szCs w:val="33"/>
            </w:rPr>
            <w:fldChar w:fldCharType="begin"/>
          </w:r>
          <w:r>
            <w:rPr>
              <w:rFonts w:eastAsia="方正仿宋_GBK"/>
              <w:sz w:val="33"/>
              <w:szCs w:val="33"/>
            </w:rPr>
            <w:instrText xml:space="preserve"> PAGEREF _Toc16444 \h </w:instrText>
          </w:r>
          <w:r>
            <w:rPr>
              <w:rFonts w:eastAsia="方正仿宋_GBK"/>
              <w:sz w:val="33"/>
              <w:szCs w:val="33"/>
            </w:rPr>
            <w:fldChar w:fldCharType="separate"/>
          </w:r>
          <w:r>
            <w:rPr>
              <w:rFonts w:eastAsia="方正仿宋_GBK"/>
              <w:sz w:val="33"/>
              <w:szCs w:val="33"/>
            </w:rPr>
            <w:t>19</w:t>
          </w:r>
          <w:r>
            <w:rPr>
              <w:rFonts w:eastAsia="方正仿宋_GBK"/>
              <w:sz w:val="33"/>
              <w:szCs w:val="33"/>
            </w:rPr>
            <w:fldChar w:fldCharType="end"/>
          </w:r>
          <w:r>
            <w:rPr>
              <w:rFonts w:eastAsia="方正仿宋_GBK"/>
              <w:sz w:val="33"/>
              <w:szCs w:val="33"/>
            </w:rPr>
            <w:fldChar w:fldCharType="end"/>
          </w:r>
        </w:p>
        <w:p>
          <w:pPr>
            <w:pStyle w:val="15"/>
            <w:tabs>
              <w:tab w:val="right" w:leader="dot" w:pos="8306"/>
              <w:tab w:val="clear" w:pos="8296"/>
            </w:tabs>
            <w:spacing w:line="576" w:lineRule="exact"/>
            <w:rPr>
              <w:rFonts w:eastAsia="方正仿宋_GBK"/>
              <w:sz w:val="33"/>
              <w:szCs w:val="33"/>
            </w:rPr>
          </w:pPr>
          <w:r>
            <w:fldChar w:fldCharType="begin"/>
          </w:r>
          <w:r>
            <w:instrText xml:space="preserve"> HYPERLINK \l "_Toc28341" </w:instrText>
          </w:r>
          <w:r>
            <w:fldChar w:fldCharType="separate"/>
          </w:r>
          <w:r>
            <w:rPr>
              <w:rFonts w:eastAsia="方正仿宋_GBK"/>
              <w:sz w:val="33"/>
              <w:szCs w:val="33"/>
            </w:rPr>
            <w:t>十一、国有资本经营预算财政拨款收入支出决算表</w:t>
          </w:r>
          <w:r>
            <w:rPr>
              <w:rFonts w:eastAsia="方正仿宋_GBK"/>
              <w:sz w:val="33"/>
              <w:szCs w:val="33"/>
            </w:rPr>
            <w:tab/>
          </w:r>
          <w:r>
            <w:rPr>
              <w:rFonts w:eastAsia="方正仿宋_GBK"/>
              <w:sz w:val="33"/>
              <w:szCs w:val="33"/>
            </w:rPr>
            <w:fldChar w:fldCharType="begin"/>
          </w:r>
          <w:r>
            <w:rPr>
              <w:rFonts w:eastAsia="方正仿宋_GBK"/>
              <w:sz w:val="33"/>
              <w:szCs w:val="33"/>
            </w:rPr>
            <w:instrText xml:space="preserve"> PAGEREF _Toc28341 \h </w:instrText>
          </w:r>
          <w:r>
            <w:rPr>
              <w:rFonts w:eastAsia="方正仿宋_GBK"/>
              <w:sz w:val="33"/>
              <w:szCs w:val="33"/>
            </w:rPr>
            <w:fldChar w:fldCharType="separate"/>
          </w:r>
          <w:r>
            <w:rPr>
              <w:rFonts w:eastAsia="方正仿宋_GBK"/>
              <w:sz w:val="33"/>
              <w:szCs w:val="33"/>
            </w:rPr>
            <w:t>19</w:t>
          </w:r>
          <w:r>
            <w:rPr>
              <w:rFonts w:eastAsia="方正仿宋_GBK"/>
              <w:sz w:val="33"/>
              <w:szCs w:val="33"/>
            </w:rPr>
            <w:fldChar w:fldCharType="end"/>
          </w:r>
          <w:r>
            <w:rPr>
              <w:rFonts w:eastAsia="方正仿宋_GBK"/>
              <w:sz w:val="33"/>
              <w:szCs w:val="33"/>
            </w:rPr>
            <w:fldChar w:fldCharType="end"/>
          </w:r>
        </w:p>
        <w:p>
          <w:pPr>
            <w:pStyle w:val="15"/>
            <w:tabs>
              <w:tab w:val="right" w:leader="dot" w:pos="8306"/>
              <w:tab w:val="clear" w:pos="8296"/>
            </w:tabs>
            <w:spacing w:line="576" w:lineRule="exact"/>
            <w:rPr>
              <w:rFonts w:eastAsia="方正仿宋_GBK"/>
              <w:sz w:val="33"/>
              <w:szCs w:val="33"/>
            </w:rPr>
          </w:pPr>
          <w:r>
            <w:fldChar w:fldCharType="begin"/>
          </w:r>
          <w:r>
            <w:instrText xml:space="preserve"> HYPERLINK \l "_Toc2286" </w:instrText>
          </w:r>
          <w:r>
            <w:fldChar w:fldCharType="separate"/>
          </w:r>
          <w:r>
            <w:rPr>
              <w:rFonts w:eastAsia="方正仿宋_GBK"/>
              <w:sz w:val="33"/>
              <w:szCs w:val="33"/>
            </w:rPr>
            <w:t>十二、国有资本经营预算财政拨款支出决算表</w:t>
          </w:r>
          <w:r>
            <w:rPr>
              <w:rFonts w:eastAsia="方正仿宋_GBK"/>
              <w:sz w:val="33"/>
              <w:szCs w:val="33"/>
            </w:rPr>
            <w:tab/>
          </w:r>
          <w:r>
            <w:rPr>
              <w:rFonts w:eastAsia="方正仿宋_GBK"/>
              <w:sz w:val="33"/>
              <w:szCs w:val="33"/>
            </w:rPr>
            <w:fldChar w:fldCharType="begin"/>
          </w:r>
          <w:r>
            <w:rPr>
              <w:rFonts w:eastAsia="方正仿宋_GBK"/>
              <w:sz w:val="33"/>
              <w:szCs w:val="33"/>
            </w:rPr>
            <w:instrText xml:space="preserve"> PAGEREF _Toc2286 \h </w:instrText>
          </w:r>
          <w:r>
            <w:rPr>
              <w:rFonts w:eastAsia="方正仿宋_GBK"/>
              <w:sz w:val="33"/>
              <w:szCs w:val="33"/>
            </w:rPr>
            <w:fldChar w:fldCharType="separate"/>
          </w:r>
          <w:r>
            <w:rPr>
              <w:rFonts w:eastAsia="方正仿宋_GBK"/>
              <w:sz w:val="33"/>
              <w:szCs w:val="33"/>
            </w:rPr>
            <w:t>19</w:t>
          </w:r>
          <w:r>
            <w:rPr>
              <w:rFonts w:eastAsia="方正仿宋_GBK"/>
              <w:sz w:val="33"/>
              <w:szCs w:val="33"/>
            </w:rPr>
            <w:fldChar w:fldCharType="end"/>
          </w:r>
          <w:r>
            <w:rPr>
              <w:rFonts w:eastAsia="方正仿宋_GBK"/>
              <w:sz w:val="33"/>
              <w:szCs w:val="33"/>
            </w:rPr>
            <w:fldChar w:fldCharType="end"/>
          </w:r>
        </w:p>
        <w:p>
          <w:pPr>
            <w:pStyle w:val="15"/>
            <w:tabs>
              <w:tab w:val="right" w:leader="dot" w:pos="8306"/>
              <w:tab w:val="clear" w:pos="8296"/>
            </w:tabs>
            <w:spacing w:line="576" w:lineRule="exact"/>
            <w:rPr>
              <w:sz w:val="33"/>
              <w:szCs w:val="33"/>
            </w:rPr>
          </w:pPr>
          <w:r>
            <w:fldChar w:fldCharType="begin"/>
          </w:r>
          <w:r>
            <w:instrText xml:space="preserve"> HYPERLINK \l "_Toc8837" </w:instrText>
          </w:r>
          <w:r>
            <w:fldChar w:fldCharType="separate"/>
          </w:r>
          <w:r>
            <w:rPr>
              <w:rFonts w:eastAsia="方正仿宋_GBK"/>
              <w:sz w:val="33"/>
              <w:szCs w:val="33"/>
            </w:rPr>
            <w:t>十三、财政拨款“三公”经费支出决算表</w:t>
          </w:r>
          <w:r>
            <w:rPr>
              <w:rFonts w:eastAsia="方正仿宋_GBK"/>
              <w:sz w:val="33"/>
              <w:szCs w:val="33"/>
            </w:rPr>
            <w:tab/>
          </w:r>
          <w:r>
            <w:rPr>
              <w:rFonts w:eastAsia="方正仿宋_GBK"/>
              <w:sz w:val="33"/>
              <w:szCs w:val="33"/>
            </w:rPr>
            <w:fldChar w:fldCharType="begin"/>
          </w:r>
          <w:r>
            <w:rPr>
              <w:rFonts w:eastAsia="方正仿宋_GBK"/>
              <w:sz w:val="33"/>
              <w:szCs w:val="33"/>
            </w:rPr>
            <w:instrText xml:space="preserve"> PAGEREF _Toc8837 \h </w:instrText>
          </w:r>
          <w:r>
            <w:rPr>
              <w:rFonts w:eastAsia="方正仿宋_GBK"/>
              <w:sz w:val="33"/>
              <w:szCs w:val="33"/>
            </w:rPr>
            <w:fldChar w:fldCharType="separate"/>
          </w:r>
          <w:r>
            <w:rPr>
              <w:rFonts w:eastAsia="方正仿宋_GBK"/>
              <w:sz w:val="33"/>
              <w:szCs w:val="33"/>
            </w:rPr>
            <w:t>19</w:t>
          </w:r>
          <w:r>
            <w:rPr>
              <w:rFonts w:eastAsia="方正仿宋_GBK"/>
              <w:sz w:val="33"/>
              <w:szCs w:val="33"/>
            </w:rPr>
            <w:fldChar w:fldCharType="end"/>
          </w:r>
          <w:r>
            <w:rPr>
              <w:rFonts w:eastAsia="方正仿宋_GBK"/>
              <w:sz w:val="33"/>
              <w:szCs w:val="33"/>
            </w:rPr>
            <w:fldChar w:fldCharType="end"/>
          </w:r>
        </w:p>
        <w:p>
          <w:pPr>
            <w:spacing w:line="576" w:lineRule="exact"/>
          </w:pPr>
          <w:r>
            <w:rPr>
              <w:sz w:val="33"/>
              <w:szCs w:val="33"/>
            </w:rPr>
            <w:fldChar w:fldCharType="end"/>
          </w:r>
        </w:p>
      </w:sdtContent>
    </w:sdt>
    <w:p>
      <w:pPr>
        <w:spacing w:line="576" w:lineRule="exact"/>
        <w:rPr>
          <w:rFonts w:ascii="仿宋" w:hAnsi="仿宋" w:eastAsia="仿宋"/>
          <w:bCs/>
          <w:kern w:val="44"/>
          <w:sz w:val="24"/>
        </w:rPr>
      </w:pPr>
      <w:bookmarkStart w:id="7" w:name="_Toc15377196"/>
      <w:bookmarkStart w:id="8" w:name="_Toc15396599"/>
      <w:r>
        <w:rPr>
          <w:rFonts w:ascii="仿宋" w:hAnsi="仿宋" w:eastAsia="仿宋"/>
          <w:b/>
          <w:sz w:val="24"/>
        </w:rPr>
        <w:br w:type="page"/>
      </w:r>
    </w:p>
    <w:p>
      <w:pPr>
        <w:pStyle w:val="5"/>
        <w:numPr>
          <w:ilvl w:val="0"/>
          <w:numId w:val="1"/>
        </w:numPr>
        <w:jc w:val="center"/>
        <w:rPr>
          <w:rStyle w:val="28"/>
          <w:rFonts w:ascii="黑体" w:hAnsi="黑体" w:eastAsia="黑体"/>
          <w:b w:val="0"/>
          <w:bCs w:val="0"/>
        </w:rPr>
      </w:pPr>
      <w:bookmarkStart w:id="9" w:name="_Toc31313"/>
      <w:r>
        <w:rPr>
          <w:rFonts w:hint="eastAsia" w:ascii="黑体" w:hAnsi="黑体" w:eastAsia="黑体"/>
          <w:b w:val="0"/>
        </w:rPr>
        <w:t>单位</w:t>
      </w:r>
      <w:r>
        <w:rPr>
          <w:rStyle w:val="28"/>
          <w:rFonts w:hint="eastAsia" w:ascii="黑体" w:hAnsi="黑体" w:eastAsia="黑体"/>
          <w:b w:val="0"/>
          <w:bCs w:val="0"/>
        </w:rPr>
        <w:t>概况</w:t>
      </w:r>
      <w:bookmarkEnd w:id="7"/>
      <w:bookmarkEnd w:id="8"/>
      <w:bookmarkEnd w:id="9"/>
      <w:bookmarkStart w:id="10" w:name="_Toc11887"/>
      <w:bookmarkStart w:id="11" w:name="_Toc15377197"/>
      <w:bookmarkStart w:id="12" w:name="_Toc15396600"/>
    </w:p>
    <w:p/>
    <w:p>
      <w:pPr>
        <w:pStyle w:val="6"/>
        <w:numPr>
          <w:ilvl w:val="0"/>
          <w:numId w:val="2"/>
        </w:numPr>
        <w:rPr>
          <w:rStyle w:val="29"/>
          <w:rFonts w:ascii="黑体" w:hAnsi="黑体" w:eastAsia="黑体"/>
          <w:b w:val="0"/>
          <w:bCs w:val="0"/>
        </w:rPr>
      </w:pPr>
      <w:r>
        <w:rPr>
          <w:rStyle w:val="29"/>
          <w:rFonts w:hint="eastAsia" w:ascii="黑体" w:hAnsi="黑体" w:eastAsia="黑体"/>
          <w:b w:val="0"/>
          <w:bCs w:val="0"/>
        </w:rPr>
        <w:t>主要职责</w:t>
      </w:r>
      <w:bookmarkEnd w:id="10"/>
    </w:p>
    <w:p>
      <w:pPr>
        <w:spacing w:line="576" w:lineRule="exact"/>
        <w:ind w:firstLine="640"/>
        <w:rPr>
          <w:rFonts w:eastAsia="方正仿宋_GBK"/>
          <w:sz w:val="33"/>
          <w:szCs w:val="33"/>
        </w:rPr>
      </w:pPr>
      <w:bookmarkStart w:id="13" w:name="_Toc21233"/>
      <w:r>
        <w:rPr>
          <w:rFonts w:hint="eastAsia" w:eastAsia="方正仿宋_GBK"/>
          <w:sz w:val="33"/>
          <w:szCs w:val="33"/>
        </w:rPr>
        <w:t>一是负责党的纪律检查工作；二是依照党的章程和其他党内法规履行监督</w:t>
      </w:r>
      <w:r>
        <w:rPr>
          <w:rFonts w:hint="eastAsia" w:eastAsia="方正仿宋_GBK"/>
          <w:sz w:val="33"/>
          <w:szCs w:val="33"/>
          <w:lang w:eastAsia="zh-CN"/>
        </w:rPr>
        <w:t>、</w:t>
      </w:r>
      <w:r>
        <w:rPr>
          <w:rFonts w:hint="eastAsia" w:eastAsia="方正仿宋_GBK"/>
          <w:sz w:val="33"/>
          <w:szCs w:val="33"/>
        </w:rPr>
        <w:t>执纪</w:t>
      </w:r>
      <w:r>
        <w:rPr>
          <w:rFonts w:hint="eastAsia" w:eastAsia="方正仿宋_GBK"/>
          <w:sz w:val="33"/>
          <w:szCs w:val="33"/>
          <w:lang w:eastAsia="zh-CN"/>
        </w:rPr>
        <w:t>、</w:t>
      </w:r>
      <w:r>
        <w:rPr>
          <w:rFonts w:hint="eastAsia" w:eastAsia="方正仿宋_GBK"/>
          <w:sz w:val="33"/>
          <w:szCs w:val="33"/>
        </w:rPr>
        <w:t>问责职责；三是负责全市监察工作；四是依照法律规定履行监督</w:t>
      </w:r>
      <w:r>
        <w:rPr>
          <w:rFonts w:hint="eastAsia" w:eastAsia="方正仿宋_GBK"/>
          <w:sz w:val="33"/>
          <w:szCs w:val="33"/>
          <w:lang w:eastAsia="zh-CN"/>
        </w:rPr>
        <w:t>、</w:t>
      </w:r>
      <w:r>
        <w:rPr>
          <w:rFonts w:hint="eastAsia" w:eastAsia="方正仿宋_GBK"/>
          <w:sz w:val="33"/>
          <w:szCs w:val="33"/>
        </w:rPr>
        <w:t>调查</w:t>
      </w:r>
      <w:r>
        <w:rPr>
          <w:rFonts w:hint="eastAsia" w:eastAsia="方正仿宋_GBK"/>
          <w:sz w:val="33"/>
          <w:szCs w:val="33"/>
          <w:lang w:eastAsia="zh-CN"/>
        </w:rPr>
        <w:t>、</w:t>
      </w:r>
      <w:r>
        <w:rPr>
          <w:rFonts w:hint="eastAsia" w:eastAsia="方正仿宋_GBK"/>
          <w:sz w:val="33"/>
          <w:szCs w:val="33"/>
        </w:rPr>
        <w:t>处置职责；五是负责组织协调全面从严治党、党风廉政建设和反腐败宣传教育工作；六是</w:t>
      </w:r>
      <w:r>
        <w:rPr>
          <w:rFonts w:hint="eastAsia" w:eastAsia="方正仿宋_GBK"/>
          <w:sz w:val="33"/>
          <w:szCs w:val="33"/>
          <w:lang w:val="en-US" w:eastAsia="zh-CN"/>
        </w:rPr>
        <w:t>负责</w:t>
      </w:r>
      <w:r>
        <w:rPr>
          <w:rFonts w:hint="eastAsia" w:eastAsia="方正仿宋_GBK"/>
          <w:sz w:val="33"/>
          <w:szCs w:val="33"/>
        </w:rPr>
        <w:t>综合分析全面从严治党</w:t>
      </w:r>
      <w:r>
        <w:rPr>
          <w:rFonts w:hint="eastAsia" w:eastAsia="方正仿宋_GBK"/>
          <w:sz w:val="33"/>
          <w:szCs w:val="33"/>
          <w:lang w:eastAsia="zh-CN"/>
        </w:rPr>
        <w:t>、</w:t>
      </w:r>
      <w:r>
        <w:rPr>
          <w:rFonts w:hint="eastAsia" w:eastAsia="方正仿宋_GBK"/>
          <w:sz w:val="33"/>
          <w:szCs w:val="33"/>
          <w:lang w:val="en-US" w:eastAsia="zh-CN"/>
        </w:rPr>
        <w:t>党风廉政建设</w:t>
      </w:r>
      <w:r>
        <w:rPr>
          <w:rFonts w:hint="eastAsia" w:eastAsia="方正仿宋_GBK"/>
          <w:sz w:val="33"/>
          <w:szCs w:val="33"/>
        </w:rPr>
        <w:t>和反腐败</w:t>
      </w:r>
      <w:r>
        <w:rPr>
          <w:rFonts w:hint="eastAsia" w:eastAsia="方正仿宋_GBK"/>
          <w:sz w:val="33"/>
          <w:szCs w:val="33"/>
          <w:lang w:val="en-US" w:eastAsia="zh-CN"/>
        </w:rPr>
        <w:t>工作</w:t>
      </w:r>
      <w:r>
        <w:rPr>
          <w:rFonts w:hint="eastAsia" w:eastAsia="方正仿宋_GBK"/>
          <w:sz w:val="33"/>
          <w:szCs w:val="33"/>
        </w:rPr>
        <w:t>情况；七是协助市委管理、监督攀枝花纪检监察学院；八是完成市委、省纪委监委交办的其他任务。</w:t>
      </w:r>
    </w:p>
    <w:p>
      <w:pPr>
        <w:pStyle w:val="6"/>
        <w:numPr>
          <w:ilvl w:val="0"/>
          <w:numId w:val="2"/>
        </w:numPr>
        <w:rPr>
          <w:rFonts w:ascii="黑体" w:hAnsi="黑体" w:eastAsia="黑体"/>
          <w:b w:val="0"/>
        </w:rPr>
      </w:pPr>
      <w:r>
        <w:rPr>
          <w:rFonts w:hint="eastAsia" w:ascii="黑体" w:hAnsi="黑体" w:eastAsia="黑体"/>
          <w:b w:val="0"/>
        </w:rPr>
        <w:t>机构设置</w:t>
      </w:r>
      <w:bookmarkEnd w:id="13"/>
    </w:p>
    <w:p>
      <w:pPr>
        <w:pStyle w:val="10"/>
        <w:widowControl/>
        <w:spacing w:line="600" w:lineRule="exact"/>
        <w:ind w:firstLine="640" w:firstLineChars="200"/>
        <w:jc w:val="left"/>
        <w:rPr>
          <w:rFonts w:ascii="Times New Roman" w:hAnsi="Times New Roman" w:eastAsia="方正仿宋_GBK"/>
          <w:kern w:val="0"/>
          <w:sz w:val="32"/>
          <w:szCs w:val="32"/>
        </w:rPr>
      </w:pPr>
      <w:r>
        <w:rPr>
          <w:rFonts w:ascii="Times New Roman" w:hAnsi="Times New Roman" w:eastAsia="方正仿宋_GBK"/>
          <w:kern w:val="0"/>
          <w:sz w:val="32"/>
          <w:szCs w:val="32"/>
        </w:rPr>
        <w:t>中共攀枝花市纪律检查委员会</w:t>
      </w:r>
      <w:r>
        <w:rPr>
          <w:rFonts w:hint="eastAsia" w:ascii="Times New Roman" w:hAnsi="Times New Roman" w:eastAsia="方正仿宋_GBK"/>
          <w:kern w:val="0"/>
          <w:sz w:val="32"/>
          <w:szCs w:val="32"/>
          <w:lang w:val="en-US" w:eastAsia="zh-CN"/>
        </w:rPr>
        <w:t xml:space="preserve"> </w:t>
      </w:r>
      <w:r>
        <w:rPr>
          <w:rFonts w:ascii="Times New Roman" w:hAnsi="Times New Roman" w:eastAsia="方正仿宋_GBK"/>
          <w:kern w:val="0"/>
          <w:sz w:val="32"/>
          <w:szCs w:val="32"/>
        </w:rPr>
        <w:t>攀枝花市监察委员会</w:t>
      </w:r>
      <w:r>
        <w:rPr>
          <w:rFonts w:hint="eastAsia" w:ascii="Times New Roman" w:hAnsi="Times New Roman" w:eastAsia="方正仿宋_GBK"/>
          <w:kern w:val="0"/>
          <w:sz w:val="32"/>
          <w:szCs w:val="32"/>
          <w:lang w:eastAsia="zh-CN"/>
        </w:rPr>
        <w:t>（</w:t>
      </w:r>
      <w:r>
        <w:rPr>
          <w:rFonts w:hint="default" w:ascii="Times New Roman" w:hAnsi="Times New Roman" w:eastAsia="方正仿宋_GBK" w:cs="Times New Roman"/>
          <w:sz w:val="33"/>
          <w:szCs w:val="33"/>
        </w:rPr>
        <w:t>以下简称攀枝花市纪委监委</w:t>
      </w:r>
      <w:r>
        <w:rPr>
          <w:rFonts w:hint="eastAsia" w:ascii="Times New Roman" w:hAnsi="Times New Roman" w:eastAsia="方正仿宋_GBK"/>
          <w:kern w:val="0"/>
          <w:sz w:val="32"/>
          <w:szCs w:val="32"/>
          <w:lang w:val="en-US" w:eastAsia="zh-CN"/>
        </w:rPr>
        <w:t>）</w:t>
      </w:r>
      <w:r>
        <w:rPr>
          <w:rFonts w:ascii="Times New Roman" w:hAnsi="Times New Roman" w:eastAsia="方正仿宋_GBK"/>
          <w:kern w:val="0"/>
          <w:sz w:val="32"/>
          <w:szCs w:val="32"/>
        </w:rPr>
        <w:t>下设23科室，独立核算的事业单位1个。</w:t>
      </w:r>
    </w:p>
    <w:p/>
    <w:bookmarkEnd w:id="11"/>
    <w:bookmarkEnd w:id="12"/>
    <w:p>
      <w:pPr>
        <w:widowControl/>
        <w:jc w:val="left"/>
        <w:rPr>
          <w:rFonts w:ascii="仿宋" w:hAnsi="仿宋" w:eastAsia="仿宋"/>
          <w:kern w:val="0"/>
          <w:sz w:val="32"/>
          <w:szCs w:val="32"/>
        </w:rPr>
      </w:pPr>
      <w:r>
        <w:rPr>
          <w:rFonts w:ascii="仿宋" w:hAnsi="仿宋" w:eastAsia="仿宋"/>
          <w:sz w:val="32"/>
          <w:szCs w:val="32"/>
        </w:rPr>
        <w:br w:type="page"/>
      </w:r>
    </w:p>
    <w:p>
      <w:pPr>
        <w:pStyle w:val="5"/>
        <w:ind w:right="440"/>
        <w:jc w:val="center"/>
        <w:rPr>
          <w:rStyle w:val="28"/>
          <w:rFonts w:ascii="黑体" w:hAnsi="黑体" w:eastAsia="黑体"/>
          <w:b w:val="0"/>
          <w:bCs/>
        </w:rPr>
      </w:pPr>
      <w:bookmarkStart w:id="14" w:name="_Toc12169"/>
      <w:bookmarkStart w:id="15" w:name="_Toc15377204"/>
      <w:bookmarkStart w:id="16" w:name="_Toc15396602"/>
      <w:r>
        <w:rPr>
          <w:rFonts w:hint="eastAsia" w:ascii="黑体" w:hAnsi="黑体" w:eastAsia="黑体"/>
          <w:b w:val="0"/>
        </w:rPr>
        <w:t>第二部分 2022年度</w:t>
      </w:r>
      <w:r>
        <w:rPr>
          <w:rStyle w:val="28"/>
          <w:rFonts w:hint="eastAsia" w:ascii="黑体" w:hAnsi="黑体" w:eastAsia="黑体"/>
          <w:b w:val="0"/>
          <w:bCs/>
        </w:rPr>
        <w:t>单位决算情况说明</w:t>
      </w:r>
      <w:bookmarkEnd w:id="14"/>
      <w:bookmarkEnd w:id="15"/>
      <w:bookmarkEnd w:id="16"/>
    </w:p>
    <w:p/>
    <w:p>
      <w:pPr>
        <w:pStyle w:val="27"/>
        <w:numPr>
          <w:ilvl w:val="0"/>
          <w:numId w:val="3"/>
        </w:numPr>
        <w:spacing w:line="600" w:lineRule="exact"/>
        <w:ind w:firstLineChars="0"/>
        <w:outlineLvl w:val="1"/>
        <w:rPr>
          <w:rStyle w:val="29"/>
          <w:rFonts w:ascii="黑体" w:hAnsi="黑体" w:eastAsia="黑体"/>
          <w:b w:val="0"/>
        </w:rPr>
      </w:pPr>
      <w:bookmarkStart w:id="17" w:name="_Toc15396603"/>
      <w:bookmarkStart w:id="18" w:name="_Toc21849"/>
      <w:bookmarkStart w:id="19" w:name="_Toc15377205"/>
      <w:r>
        <w:rPr>
          <w:rFonts w:hint="eastAsia" w:ascii="黑体" w:hAnsi="黑体" w:eastAsia="黑体"/>
          <w:sz w:val="32"/>
          <w:szCs w:val="32"/>
        </w:rPr>
        <w:t>收</w:t>
      </w:r>
      <w:r>
        <w:rPr>
          <w:rStyle w:val="29"/>
          <w:rFonts w:hint="eastAsia" w:ascii="黑体" w:hAnsi="黑体" w:eastAsia="黑体"/>
          <w:b w:val="0"/>
        </w:rPr>
        <w:t>入支出决算总体情况说明</w:t>
      </w:r>
      <w:bookmarkEnd w:id="17"/>
      <w:bookmarkEnd w:id="18"/>
      <w:bookmarkEnd w:id="19"/>
    </w:p>
    <w:p>
      <w:pPr>
        <w:spacing w:line="576" w:lineRule="exact"/>
        <w:ind w:firstLine="660" w:firstLineChars="200"/>
        <w:rPr>
          <w:rFonts w:eastAsia="方正仿宋_GBK"/>
          <w:color w:val="000000"/>
          <w:kern w:val="0"/>
          <w:sz w:val="33"/>
          <w:szCs w:val="33"/>
        </w:rPr>
      </w:pPr>
      <w:r>
        <w:rPr>
          <w:rFonts w:hint="eastAsia" w:eastAsia="方正仿宋_GBK"/>
          <w:color w:val="000000"/>
          <w:kern w:val="0"/>
          <w:sz w:val="33"/>
          <w:szCs w:val="33"/>
        </w:rPr>
        <w:t>2022</w:t>
      </w:r>
      <w:r>
        <w:rPr>
          <w:rFonts w:eastAsia="方正仿宋_GBK"/>
          <w:color w:val="000000"/>
          <w:kern w:val="0"/>
          <w:sz w:val="33"/>
          <w:szCs w:val="33"/>
        </w:rPr>
        <w:t>年度收、支总计</w:t>
      </w:r>
      <w:r>
        <w:rPr>
          <w:rFonts w:hint="eastAsia" w:eastAsia="方正仿宋_GBK"/>
          <w:color w:val="000000"/>
          <w:kern w:val="0"/>
          <w:sz w:val="33"/>
          <w:szCs w:val="33"/>
        </w:rPr>
        <w:t>3227.56万元</w:t>
      </w:r>
      <w:r>
        <w:rPr>
          <w:rFonts w:eastAsia="方正仿宋_GBK"/>
          <w:color w:val="000000"/>
          <w:kern w:val="0"/>
          <w:sz w:val="33"/>
          <w:szCs w:val="33"/>
        </w:rPr>
        <w:t>。与</w:t>
      </w:r>
      <w:r>
        <w:rPr>
          <w:rFonts w:hint="eastAsia" w:eastAsia="方正仿宋_GBK"/>
          <w:color w:val="000000"/>
          <w:kern w:val="0"/>
          <w:sz w:val="33"/>
          <w:szCs w:val="33"/>
        </w:rPr>
        <w:t>2021</w:t>
      </w:r>
      <w:r>
        <w:rPr>
          <w:rFonts w:eastAsia="方正仿宋_GBK"/>
          <w:color w:val="000000"/>
          <w:kern w:val="0"/>
          <w:sz w:val="33"/>
          <w:szCs w:val="33"/>
        </w:rPr>
        <w:t>年相比，收、支总计</w:t>
      </w:r>
      <w:r>
        <w:rPr>
          <w:rFonts w:hint="eastAsia" w:eastAsia="方正仿宋_GBK"/>
          <w:color w:val="000000"/>
          <w:kern w:val="0"/>
          <w:sz w:val="33"/>
          <w:szCs w:val="33"/>
        </w:rPr>
        <w:t>各增加476.78</w:t>
      </w:r>
      <w:r>
        <w:rPr>
          <w:rFonts w:eastAsia="方正仿宋_GBK"/>
          <w:color w:val="000000"/>
          <w:kern w:val="0"/>
          <w:sz w:val="33"/>
          <w:szCs w:val="33"/>
        </w:rPr>
        <w:t>万元，</w:t>
      </w:r>
      <w:r>
        <w:rPr>
          <w:rFonts w:hint="eastAsia" w:eastAsia="方正仿宋_GBK"/>
          <w:color w:val="000000"/>
          <w:kern w:val="0"/>
          <w:sz w:val="33"/>
          <w:szCs w:val="33"/>
        </w:rPr>
        <w:t>增加17.3</w:t>
      </w:r>
      <w:r>
        <w:rPr>
          <w:rFonts w:eastAsia="方正仿宋_GBK"/>
          <w:color w:val="000000"/>
          <w:kern w:val="0"/>
          <w:sz w:val="33"/>
          <w:szCs w:val="33"/>
        </w:rPr>
        <w:t>%。</w:t>
      </w:r>
      <w:r>
        <w:rPr>
          <w:rFonts w:hint="eastAsia" w:ascii="仿宋" w:hAnsi="仿宋" w:eastAsia="仿宋"/>
          <w:sz w:val="32"/>
          <w:szCs w:val="32"/>
        </w:rPr>
        <w:t>主要变动原因是</w:t>
      </w:r>
      <w:r>
        <w:rPr>
          <w:rFonts w:hint="eastAsia" w:eastAsia="方正仿宋_GBK"/>
          <w:color w:val="000000"/>
          <w:kern w:val="0"/>
          <w:sz w:val="33"/>
          <w:szCs w:val="33"/>
        </w:rPr>
        <w:t>人员及项目经费比2021年增加</w:t>
      </w:r>
      <w:r>
        <w:rPr>
          <w:rFonts w:eastAsia="方正仿宋_GBK"/>
          <w:color w:val="000000"/>
          <w:kern w:val="0"/>
          <w:sz w:val="33"/>
          <w:szCs w:val="33"/>
        </w:rPr>
        <w:t>。</w:t>
      </w:r>
    </w:p>
    <w:p>
      <w:pPr>
        <w:spacing w:line="576" w:lineRule="exact"/>
        <w:ind w:firstLine="660" w:firstLineChars="200"/>
        <w:rPr>
          <w:rFonts w:eastAsia="方正仿宋_GBK"/>
          <w:color w:val="000000"/>
          <w:sz w:val="33"/>
          <w:szCs w:val="33"/>
        </w:rPr>
      </w:pPr>
      <w:r>
        <w:rPr>
          <w:rFonts w:eastAsia="方正仿宋_GBK"/>
          <w:color w:val="000000"/>
          <w:kern w:val="0"/>
          <w:sz w:val="33"/>
          <w:szCs w:val="33"/>
        </w:rPr>
        <w:t>（图1：收、支决算总计变动情况图）（柱状图）</w:t>
      </w:r>
    </w:p>
    <w:p>
      <w:pPr>
        <w:ind w:firstLine="660" w:firstLineChars="200"/>
        <w:jc w:val="left"/>
        <w:rPr>
          <w:rFonts w:ascii="仿宋_GB2312" w:eastAsia="仿宋_GB2312"/>
          <w:sz w:val="32"/>
          <w:szCs w:val="32"/>
        </w:rPr>
      </w:pPr>
      <w:r>
        <w:rPr>
          <w:rFonts w:hint="eastAsia" w:eastAsia="方正仿宋_GBK"/>
          <w:color w:val="000000"/>
          <w:sz w:val="33"/>
          <w:szCs w:val="33"/>
        </w:rPr>
        <w:object>
          <v:shape id="_x0000_i1025" o:spt="75" type="#_x0000_t75" style="height:211.85pt;width:337.4pt;" o:ole="t" filled="f" o:preferrelative="t" stroked="f" coordsize="21600,21600">
            <v:path/>
            <v:fill on="f" focussize="0,0"/>
            <v:stroke on="f" joinstyle="miter"/>
            <v:imagedata r:id="rId7" o:title=""/>
            <o:lock v:ext="edit" aspectratio="t"/>
            <w10:wrap type="none"/>
            <w10:anchorlock/>
          </v:shape>
          <o:OLEObject Type="Embed" ProgID="Excel.Chart.8" ShapeID="_x0000_i1025" DrawAspect="Content" ObjectID="_1468075725" r:id="rId6">
            <o:LockedField>false</o:LockedField>
          </o:OLEObject>
        </w:object>
      </w:r>
    </w:p>
    <w:p>
      <w:pPr>
        <w:pStyle w:val="27"/>
        <w:numPr>
          <w:ilvl w:val="0"/>
          <w:numId w:val="3"/>
        </w:numPr>
        <w:spacing w:line="600" w:lineRule="exact"/>
        <w:ind w:firstLineChars="0"/>
        <w:outlineLvl w:val="1"/>
        <w:rPr>
          <w:rStyle w:val="29"/>
          <w:rFonts w:ascii="黑体" w:hAnsi="黑体" w:eastAsia="黑体"/>
          <w:b w:val="0"/>
        </w:rPr>
      </w:pPr>
      <w:bookmarkStart w:id="20" w:name="_Toc9044"/>
      <w:bookmarkStart w:id="21" w:name="_Toc15377206"/>
      <w:bookmarkStart w:id="22" w:name="_Toc15396604"/>
      <w:r>
        <w:rPr>
          <w:rFonts w:hint="eastAsia" w:ascii="黑体" w:hAnsi="黑体" w:eastAsia="黑体"/>
          <w:sz w:val="32"/>
          <w:szCs w:val="32"/>
        </w:rPr>
        <w:t>收</w:t>
      </w:r>
      <w:r>
        <w:rPr>
          <w:rStyle w:val="29"/>
          <w:rFonts w:hint="eastAsia" w:ascii="黑体" w:hAnsi="黑体" w:eastAsia="黑体"/>
          <w:b w:val="0"/>
        </w:rPr>
        <w:t>入决算情况说明</w:t>
      </w:r>
      <w:bookmarkEnd w:id="20"/>
      <w:bookmarkEnd w:id="21"/>
      <w:bookmarkEnd w:id="22"/>
    </w:p>
    <w:p>
      <w:pPr>
        <w:spacing w:line="576" w:lineRule="exact"/>
        <w:ind w:firstLine="660" w:firstLineChars="200"/>
        <w:rPr>
          <w:rFonts w:eastAsia="方正仿宋_GBK"/>
          <w:color w:val="000000"/>
          <w:kern w:val="0"/>
          <w:sz w:val="33"/>
          <w:szCs w:val="33"/>
        </w:rPr>
      </w:pPr>
      <w:r>
        <w:rPr>
          <w:rFonts w:hint="eastAsia" w:eastAsia="方正仿宋_GBK"/>
          <w:color w:val="000000"/>
          <w:kern w:val="0"/>
          <w:sz w:val="33"/>
          <w:szCs w:val="33"/>
        </w:rPr>
        <w:t>2022</w:t>
      </w:r>
      <w:r>
        <w:rPr>
          <w:rFonts w:eastAsia="方正仿宋_GBK"/>
          <w:color w:val="000000"/>
          <w:kern w:val="0"/>
          <w:sz w:val="33"/>
          <w:szCs w:val="33"/>
        </w:rPr>
        <w:t>年本年收入合计</w:t>
      </w:r>
      <w:r>
        <w:rPr>
          <w:rFonts w:hint="eastAsia" w:eastAsia="方正仿宋_GBK"/>
          <w:color w:val="000000"/>
          <w:kern w:val="0"/>
          <w:sz w:val="33"/>
          <w:szCs w:val="33"/>
        </w:rPr>
        <w:t>3090.99</w:t>
      </w:r>
      <w:r>
        <w:rPr>
          <w:rFonts w:eastAsia="方正仿宋_GBK"/>
          <w:color w:val="000000"/>
          <w:kern w:val="0"/>
          <w:sz w:val="33"/>
          <w:szCs w:val="33"/>
        </w:rPr>
        <w:t>万元，其中：一般公共预算财政拨款收入</w:t>
      </w:r>
      <w:r>
        <w:rPr>
          <w:rFonts w:hint="eastAsia" w:eastAsia="方正仿宋_GBK"/>
          <w:color w:val="000000"/>
          <w:kern w:val="0"/>
          <w:sz w:val="33"/>
          <w:szCs w:val="33"/>
        </w:rPr>
        <w:t>3090.99</w:t>
      </w:r>
      <w:r>
        <w:rPr>
          <w:rFonts w:eastAsia="方正仿宋_GBK"/>
          <w:color w:val="000000"/>
          <w:kern w:val="0"/>
          <w:sz w:val="33"/>
          <w:szCs w:val="33"/>
        </w:rPr>
        <w:t>万元，占</w:t>
      </w:r>
      <w:r>
        <w:rPr>
          <w:rFonts w:hint="eastAsia" w:eastAsia="方正仿宋_GBK"/>
          <w:color w:val="000000"/>
          <w:kern w:val="0"/>
          <w:sz w:val="33"/>
          <w:szCs w:val="33"/>
        </w:rPr>
        <w:t>100</w:t>
      </w:r>
      <w:r>
        <w:rPr>
          <w:rFonts w:eastAsia="方正仿宋_GBK"/>
          <w:color w:val="000000"/>
          <w:kern w:val="0"/>
          <w:sz w:val="33"/>
          <w:szCs w:val="33"/>
        </w:rPr>
        <w:t>%；政府性基金预算财政拨款收入</w:t>
      </w:r>
      <w:r>
        <w:rPr>
          <w:rFonts w:hint="eastAsia" w:eastAsia="方正仿宋_GBK"/>
          <w:color w:val="000000"/>
          <w:kern w:val="0"/>
          <w:sz w:val="33"/>
          <w:szCs w:val="33"/>
        </w:rPr>
        <w:t>0</w:t>
      </w:r>
      <w:r>
        <w:rPr>
          <w:rFonts w:eastAsia="方正仿宋_GBK"/>
          <w:color w:val="000000"/>
          <w:kern w:val="0"/>
          <w:sz w:val="33"/>
          <w:szCs w:val="33"/>
        </w:rPr>
        <w:t>万元，占</w:t>
      </w:r>
      <w:r>
        <w:rPr>
          <w:rFonts w:hint="eastAsia" w:eastAsia="方正仿宋_GBK"/>
          <w:color w:val="000000"/>
          <w:kern w:val="0"/>
          <w:sz w:val="33"/>
          <w:szCs w:val="33"/>
        </w:rPr>
        <w:t>0</w:t>
      </w:r>
      <w:r>
        <w:rPr>
          <w:rFonts w:eastAsia="方正仿宋_GBK"/>
          <w:color w:val="000000"/>
          <w:kern w:val="0"/>
          <w:sz w:val="33"/>
          <w:szCs w:val="33"/>
        </w:rPr>
        <w:t>%；上级补助收入0万元，占0%；事业收入0万元，占0%；经营收入0万元，占0%；附属单位上缴收入0万元，占0%；其他收入</w:t>
      </w:r>
      <w:r>
        <w:rPr>
          <w:rFonts w:hint="eastAsia" w:eastAsia="方正仿宋_GBK"/>
          <w:color w:val="000000"/>
          <w:kern w:val="0"/>
          <w:sz w:val="33"/>
          <w:szCs w:val="33"/>
        </w:rPr>
        <w:t>0</w:t>
      </w:r>
      <w:r>
        <w:rPr>
          <w:rFonts w:eastAsia="方正仿宋_GBK"/>
          <w:color w:val="000000"/>
          <w:kern w:val="0"/>
          <w:sz w:val="33"/>
          <w:szCs w:val="33"/>
        </w:rPr>
        <w:t>万元，占0%。</w:t>
      </w:r>
    </w:p>
    <w:p>
      <w:pPr>
        <w:spacing w:line="576" w:lineRule="exact"/>
        <w:ind w:firstLine="660" w:firstLineChars="200"/>
        <w:rPr>
          <w:rFonts w:eastAsia="方正仿宋_GBK"/>
          <w:color w:val="000000"/>
          <w:kern w:val="0"/>
          <w:sz w:val="33"/>
          <w:szCs w:val="33"/>
        </w:rPr>
      </w:pPr>
      <w:r>
        <w:rPr>
          <w:rFonts w:eastAsia="方正仿宋_GBK"/>
          <w:color w:val="000000"/>
          <w:kern w:val="0"/>
          <w:sz w:val="33"/>
          <w:szCs w:val="33"/>
        </w:rPr>
        <w:t>（图2：收入决算结构图）（饼状图）</w:t>
      </w:r>
    </w:p>
    <w:p>
      <w:pPr>
        <w:ind w:firstLine="420" w:firstLineChars="200"/>
        <w:rPr>
          <w:rFonts w:eastAsia="方正仿宋_GBK"/>
          <w:color w:val="000000"/>
          <w:kern w:val="0"/>
          <w:sz w:val="33"/>
          <w:szCs w:val="33"/>
        </w:rPr>
      </w:pPr>
      <w:r>
        <w:drawing>
          <wp:inline distT="0" distB="0" distL="114300" distR="114300">
            <wp:extent cx="3687445" cy="2266950"/>
            <wp:effectExtent l="4445" t="4445" r="16510" b="40005"/>
            <wp:docPr id="1" name="图表 1" descr="7b0a202020202263686172745265734964223a20223230343736313234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0" w:firstLineChars="200"/>
        <w:rPr>
          <w:rFonts w:ascii="仿宋_GB2312" w:eastAsia="仿宋_GB2312"/>
          <w:sz w:val="32"/>
          <w:szCs w:val="32"/>
        </w:rPr>
      </w:pPr>
    </w:p>
    <w:p>
      <w:pPr>
        <w:pStyle w:val="27"/>
        <w:numPr>
          <w:ilvl w:val="0"/>
          <w:numId w:val="3"/>
        </w:numPr>
        <w:spacing w:line="600" w:lineRule="exact"/>
        <w:ind w:firstLineChars="0"/>
        <w:outlineLvl w:val="1"/>
        <w:rPr>
          <w:rStyle w:val="29"/>
          <w:rFonts w:ascii="黑体" w:hAnsi="黑体" w:eastAsia="黑体"/>
          <w:b w:val="0"/>
        </w:rPr>
      </w:pPr>
      <w:bookmarkStart w:id="23" w:name="_Toc25745"/>
      <w:bookmarkStart w:id="24" w:name="_Toc15377207"/>
      <w:bookmarkStart w:id="25" w:name="_Toc15396605"/>
      <w:r>
        <w:rPr>
          <w:rFonts w:hint="eastAsia" w:ascii="黑体" w:hAnsi="黑体" w:eastAsia="黑体"/>
          <w:sz w:val="32"/>
          <w:szCs w:val="32"/>
        </w:rPr>
        <w:t>支</w:t>
      </w:r>
      <w:r>
        <w:rPr>
          <w:rStyle w:val="29"/>
          <w:rFonts w:hint="eastAsia" w:ascii="黑体" w:hAnsi="黑体" w:eastAsia="黑体"/>
          <w:b w:val="0"/>
        </w:rPr>
        <w:t>出决算情况说明</w:t>
      </w:r>
      <w:bookmarkEnd w:id="23"/>
      <w:bookmarkEnd w:id="24"/>
      <w:bookmarkEnd w:id="25"/>
    </w:p>
    <w:p>
      <w:pPr>
        <w:spacing w:line="576" w:lineRule="exact"/>
        <w:ind w:firstLine="660" w:firstLineChars="200"/>
        <w:rPr>
          <w:rFonts w:eastAsia="方正仿宋_GBK"/>
          <w:color w:val="000000"/>
          <w:kern w:val="0"/>
          <w:sz w:val="33"/>
          <w:szCs w:val="33"/>
        </w:rPr>
      </w:pPr>
      <w:r>
        <w:rPr>
          <w:rFonts w:hint="eastAsia" w:eastAsia="方正仿宋_GBK"/>
          <w:color w:val="000000"/>
          <w:kern w:val="0"/>
          <w:sz w:val="33"/>
          <w:szCs w:val="33"/>
        </w:rPr>
        <w:t>2022</w:t>
      </w:r>
      <w:r>
        <w:rPr>
          <w:rFonts w:eastAsia="方正仿宋_GBK"/>
          <w:color w:val="000000"/>
          <w:kern w:val="0"/>
          <w:sz w:val="33"/>
          <w:szCs w:val="33"/>
        </w:rPr>
        <w:t>年本年支出合计</w:t>
      </w:r>
      <w:r>
        <w:rPr>
          <w:rFonts w:hint="eastAsia" w:eastAsia="方正仿宋_GBK"/>
          <w:color w:val="000000"/>
          <w:kern w:val="0"/>
          <w:sz w:val="33"/>
          <w:szCs w:val="33"/>
        </w:rPr>
        <w:t>3227.56</w:t>
      </w:r>
      <w:r>
        <w:rPr>
          <w:rFonts w:eastAsia="方正仿宋_GBK"/>
          <w:color w:val="000000"/>
          <w:kern w:val="0"/>
          <w:sz w:val="33"/>
          <w:szCs w:val="33"/>
        </w:rPr>
        <w:t>万元，其中：基本支出</w:t>
      </w:r>
      <w:r>
        <w:rPr>
          <w:rFonts w:hint="eastAsia" w:eastAsia="方正仿宋_GBK"/>
          <w:color w:val="000000"/>
          <w:kern w:val="0"/>
          <w:sz w:val="33"/>
          <w:szCs w:val="33"/>
        </w:rPr>
        <w:t>2171.41</w:t>
      </w:r>
      <w:r>
        <w:rPr>
          <w:rFonts w:eastAsia="方正仿宋_GBK"/>
          <w:color w:val="000000"/>
          <w:kern w:val="0"/>
          <w:sz w:val="33"/>
          <w:szCs w:val="33"/>
        </w:rPr>
        <w:t>万元，占</w:t>
      </w:r>
      <w:r>
        <w:rPr>
          <w:rFonts w:hint="eastAsia" w:eastAsia="方正仿宋_GBK"/>
          <w:color w:val="000000"/>
          <w:kern w:val="0"/>
          <w:sz w:val="33"/>
          <w:szCs w:val="33"/>
        </w:rPr>
        <w:t>67.</w:t>
      </w:r>
      <w:r>
        <w:rPr>
          <w:rFonts w:hint="eastAsia" w:eastAsia="方正仿宋_GBK"/>
          <w:color w:val="000000"/>
          <w:kern w:val="0"/>
          <w:sz w:val="33"/>
          <w:szCs w:val="33"/>
          <w:lang w:val="en-US" w:eastAsia="zh-CN"/>
        </w:rPr>
        <w:t>28</w:t>
      </w:r>
      <w:r>
        <w:rPr>
          <w:rFonts w:eastAsia="方正仿宋_GBK"/>
          <w:color w:val="000000"/>
          <w:kern w:val="0"/>
          <w:sz w:val="33"/>
          <w:szCs w:val="33"/>
        </w:rPr>
        <w:t>%；项目支出</w:t>
      </w:r>
      <w:r>
        <w:rPr>
          <w:rFonts w:hint="eastAsia" w:eastAsia="方正仿宋_GBK"/>
          <w:color w:val="000000"/>
          <w:kern w:val="0"/>
          <w:sz w:val="33"/>
          <w:szCs w:val="33"/>
        </w:rPr>
        <w:t>1056.15</w:t>
      </w:r>
      <w:r>
        <w:rPr>
          <w:rFonts w:eastAsia="方正仿宋_GBK"/>
          <w:color w:val="000000"/>
          <w:kern w:val="0"/>
          <w:sz w:val="33"/>
          <w:szCs w:val="33"/>
        </w:rPr>
        <w:t>万元，占</w:t>
      </w:r>
      <w:r>
        <w:rPr>
          <w:rFonts w:hint="eastAsia" w:eastAsia="方正仿宋_GBK"/>
          <w:color w:val="000000"/>
          <w:kern w:val="0"/>
          <w:sz w:val="33"/>
          <w:szCs w:val="33"/>
        </w:rPr>
        <w:t>32.7</w:t>
      </w:r>
      <w:r>
        <w:rPr>
          <w:rFonts w:hint="eastAsia" w:eastAsia="方正仿宋_GBK"/>
          <w:color w:val="000000"/>
          <w:kern w:val="0"/>
          <w:sz w:val="33"/>
          <w:szCs w:val="33"/>
          <w:lang w:val="en-US" w:eastAsia="zh-CN"/>
        </w:rPr>
        <w:t>2</w:t>
      </w:r>
      <w:r>
        <w:rPr>
          <w:rFonts w:eastAsia="方正仿宋_GBK"/>
          <w:color w:val="000000"/>
          <w:kern w:val="0"/>
          <w:sz w:val="33"/>
          <w:szCs w:val="33"/>
        </w:rPr>
        <w:t>%；上缴上级支出0万元，占0%；经营支出0万元，占0%；对附属单位补助支出0万元，占0%。</w:t>
      </w:r>
    </w:p>
    <w:p>
      <w:pPr>
        <w:spacing w:line="576" w:lineRule="exact"/>
        <w:ind w:firstLine="660" w:firstLineChars="200"/>
        <w:rPr>
          <w:rFonts w:eastAsia="方正仿宋_GBK"/>
          <w:color w:val="000000"/>
          <w:kern w:val="0"/>
          <w:sz w:val="33"/>
          <w:szCs w:val="33"/>
        </w:rPr>
      </w:pPr>
      <w:r>
        <w:rPr>
          <w:rFonts w:eastAsia="方正仿宋_GBK"/>
          <w:color w:val="000000"/>
          <w:kern w:val="0"/>
          <w:sz w:val="33"/>
          <w:szCs w:val="33"/>
        </w:rPr>
        <w:t>（图3：支出决算结构图）（饼状图）</w:t>
      </w:r>
    </w:p>
    <w:p>
      <w:pPr>
        <w:ind w:firstLine="660" w:firstLineChars="200"/>
        <w:rPr>
          <w:rFonts w:ascii="仿宋_GB2312" w:eastAsia="仿宋_GB2312"/>
          <w:sz w:val="32"/>
          <w:szCs w:val="32"/>
        </w:rPr>
      </w:pPr>
      <w:r>
        <w:rPr>
          <w:rFonts w:hint="eastAsia" w:eastAsia="方正仿宋_GBK"/>
          <w:color w:val="000000"/>
          <w:kern w:val="0"/>
          <w:sz w:val="33"/>
          <w:szCs w:val="33"/>
        </w:rPr>
        <w:object>
          <v:shape id="_x0000_i1026" o:spt="75" type="#_x0000_t75" style="height:191.1pt;width:291.7pt;" o:ole="t" filled="f" o:preferrelative="t" stroked="f" coordsize="21600,21600">
            <v:path/>
            <v:fill on="f" focussize="0,0"/>
            <v:stroke on="f"/>
            <v:imagedata r:id="rId10" o:title=""/>
            <o:lock v:ext="edit" aspectratio="t"/>
            <w10:wrap type="none"/>
            <w10:anchorlock/>
          </v:shape>
          <o:OLEObject Type="Embed" ProgID="Excel.Chart.8" ShapeID="_x0000_i1026" DrawAspect="Content" ObjectID="_1468075726" r:id="rId9">
            <o:LockedField>false</o:LockedField>
          </o:OLEObject>
        </w:object>
      </w:r>
    </w:p>
    <w:p>
      <w:pPr>
        <w:spacing w:line="600" w:lineRule="exact"/>
        <w:ind w:firstLine="640" w:firstLineChars="200"/>
        <w:outlineLvl w:val="1"/>
        <w:rPr>
          <w:rStyle w:val="29"/>
          <w:rFonts w:ascii="黑体" w:hAnsi="黑体" w:eastAsia="黑体"/>
          <w:b w:val="0"/>
        </w:rPr>
      </w:pPr>
      <w:bookmarkStart w:id="26" w:name="_Toc8962"/>
      <w:bookmarkStart w:id="27" w:name="_Toc15377208"/>
      <w:bookmarkStart w:id="28" w:name="_Toc15396606"/>
      <w:r>
        <w:rPr>
          <w:rFonts w:hint="eastAsia" w:ascii="黑体" w:hAnsi="黑体" w:eastAsia="黑体"/>
          <w:sz w:val="32"/>
          <w:szCs w:val="32"/>
        </w:rPr>
        <w:t>四、财</w:t>
      </w:r>
      <w:r>
        <w:rPr>
          <w:rStyle w:val="29"/>
          <w:rFonts w:hint="eastAsia" w:ascii="黑体" w:hAnsi="黑体" w:eastAsia="黑体"/>
          <w:b w:val="0"/>
        </w:rPr>
        <w:t>政拨款收入支出决算总体情况说明</w:t>
      </w:r>
      <w:bookmarkEnd w:id="26"/>
      <w:bookmarkEnd w:id="27"/>
      <w:bookmarkEnd w:id="28"/>
    </w:p>
    <w:p>
      <w:pPr>
        <w:spacing w:line="576" w:lineRule="exact"/>
        <w:ind w:firstLine="660" w:firstLineChars="200"/>
        <w:rPr>
          <w:rFonts w:eastAsia="方正仿宋_GBK"/>
          <w:color w:val="000000"/>
          <w:kern w:val="0"/>
          <w:sz w:val="33"/>
          <w:szCs w:val="33"/>
        </w:rPr>
      </w:pPr>
      <w:r>
        <w:rPr>
          <w:rFonts w:hint="eastAsia" w:eastAsia="方正仿宋_GBK"/>
          <w:color w:val="000000"/>
          <w:kern w:val="0"/>
          <w:sz w:val="33"/>
          <w:szCs w:val="33"/>
        </w:rPr>
        <w:t>2022</w:t>
      </w:r>
      <w:r>
        <w:rPr>
          <w:rFonts w:eastAsia="方正仿宋_GBK"/>
          <w:color w:val="000000"/>
          <w:kern w:val="0"/>
          <w:sz w:val="33"/>
          <w:szCs w:val="33"/>
        </w:rPr>
        <w:t>年财政拨款收、支总计</w:t>
      </w:r>
      <w:r>
        <w:rPr>
          <w:rFonts w:hint="eastAsia" w:eastAsia="方正仿宋_GBK"/>
          <w:color w:val="000000"/>
          <w:kern w:val="0"/>
          <w:sz w:val="33"/>
          <w:szCs w:val="33"/>
        </w:rPr>
        <w:t>3227.56</w:t>
      </w:r>
      <w:r>
        <w:rPr>
          <w:rFonts w:eastAsia="方正仿宋_GBK"/>
          <w:color w:val="000000"/>
          <w:kern w:val="0"/>
          <w:sz w:val="33"/>
          <w:szCs w:val="33"/>
        </w:rPr>
        <w:t>万元。与</w:t>
      </w:r>
      <w:r>
        <w:rPr>
          <w:rFonts w:hint="eastAsia" w:eastAsia="方正仿宋_GBK"/>
          <w:color w:val="000000"/>
          <w:kern w:val="0"/>
          <w:sz w:val="33"/>
          <w:szCs w:val="33"/>
        </w:rPr>
        <w:t>2021</w:t>
      </w:r>
      <w:r>
        <w:rPr>
          <w:rFonts w:eastAsia="方正仿宋_GBK"/>
          <w:color w:val="000000"/>
          <w:kern w:val="0"/>
          <w:sz w:val="33"/>
          <w:szCs w:val="33"/>
        </w:rPr>
        <w:t>年</w:t>
      </w:r>
      <w:r>
        <w:rPr>
          <w:rFonts w:hint="eastAsia" w:eastAsia="方正仿宋_GBK"/>
          <w:color w:val="000000"/>
          <w:kern w:val="0"/>
          <w:sz w:val="33"/>
          <w:szCs w:val="33"/>
        </w:rPr>
        <w:t>2750.6</w:t>
      </w:r>
      <w:r>
        <w:rPr>
          <w:rFonts w:eastAsia="方正仿宋_GBK"/>
          <w:color w:val="000000"/>
          <w:kern w:val="0"/>
          <w:sz w:val="33"/>
          <w:szCs w:val="33"/>
        </w:rPr>
        <w:t>万元相比，财政拨款收、支总计各</w:t>
      </w:r>
      <w:r>
        <w:rPr>
          <w:rFonts w:hint="eastAsia" w:eastAsia="方正仿宋_GBK"/>
          <w:color w:val="000000"/>
          <w:kern w:val="0"/>
          <w:sz w:val="33"/>
          <w:szCs w:val="33"/>
        </w:rPr>
        <w:t>增加476.96</w:t>
      </w:r>
      <w:r>
        <w:rPr>
          <w:rFonts w:eastAsia="方正仿宋_GBK"/>
          <w:color w:val="000000"/>
          <w:kern w:val="0"/>
          <w:sz w:val="33"/>
          <w:szCs w:val="33"/>
        </w:rPr>
        <w:t>万元，</w:t>
      </w:r>
      <w:r>
        <w:rPr>
          <w:rFonts w:hint="eastAsia" w:eastAsia="方正仿宋_GBK"/>
          <w:color w:val="000000"/>
          <w:kern w:val="0"/>
          <w:sz w:val="33"/>
          <w:szCs w:val="33"/>
        </w:rPr>
        <w:t>增加17.3</w:t>
      </w:r>
      <w:r>
        <w:rPr>
          <w:rFonts w:eastAsia="方正仿宋_GBK"/>
          <w:color w:val="000000"/>
          <w:kern w:val="0"/>
          <w:sz w:val="33"/>
          <w:szCs w:val="33"/>
        </w:rPr>
        <w:t>%。主要变动原因</w:t>
      </w:r>
      <w:r>
        <w:rPr>
          <w:rFonts w:hint="eastAsia" w:eastAsia="方正仿宋_GBK"/>
          <w:color w:val="000000"/>
          <w:kern w:val="0"/>
          <w:sz w:val="33"/>
          <w:szCs w:val="33"/>
        </w:rPr>
        <w:t>为人员经费及项目经费比2021年支出增加</w:t>
      </w:r>
      <w:r>
        <w:rPr>
          <w:rFonts w:eastAsia="方正仿宋_GBK"/>
          <w:color w:val="000000"/>
          <w:kern w:val="0"/>
          <w:sz w:val="33"/>
          <w:szCs w:val="33"/>
        </w:rPr>
        <w:t>。</w:t>
      </w:r>
    </w:p>
    <w:p>
      <w:pPr>
        <w:spacing w:line="576" w:lineRule="exact"/>
        <w:ind w:firstLine="660" w:firstLineChars="200"/>
        <w:rPr>
          <w:rFonts w:eastAsia="方正仿宋_GBK"/>
          <w:color w:val="000000"/>
          <w:kern w:val="0"/>
          <w:sz w:val="33"/>
          <w:szCs w:val="33"/>
        </w:rPr>
      </w:pPr>
      <w:r>
        <w:rPr>
          <w:rFonts w:eastAsia="方正仿宋_GBK"/>
          <w:color w:val="000000"/>
          <w:kern w:val="0"/>
          <w:sz w:val="33"/>
          <w:szCs w:val="33"/>
        </w:rPr>
        <w:t>（图4：财政拨款收、支决算总计变动情况）（柱状图）</w:t>
      </w:r>
    </w:p>
    <w:p>
      <w:pPr>
        <w:ind w:firstLine="660" w:firstLineChars="200"/>
        <w:jc w:val="left"/>
        <w:rPr>
          <w:rFonts w:ascii="仿宋" w:hAnsi="仿宋" w:eastAsia="仿宋"/>
          <w:b/>
          <w:sz w:val="32"/>
          <w:szCs w:val="32"/>
        </w:rPr>
      </w:pPr>
      <w:r>
        <w:rPr>
          <w:rFonts w:hint="eastAsia" w:eastAsia="方正仿宋_GBK"/>
          <w:color w:val="000000"/>
          <w:kern w:val="0"/>
          <w:sz w:val="33"/>
          <w:szCs w:val="33"/>
        </w:rPr>
        <w:object>
          <v:shape id="_x0000_i1027" o:spt="75" type="#_x0000_t75" style="height:194.75pt;width:305.1pt;" o:ole="t" filled="f" o:preferrelative="t" stroked="f" coordsize="21600,21600">
            <v:path/>
            <v:fill on="f" focussize="0,0"/>
            <v:stroke on="f" joinstyle="miter"/>
            <v:imagedata r:id="rId12" o:title=""/>
            <o:lock v:ext="edit" aspectratio="t"/>
            <w10:wrap type="none"/>
            <w10:anchorlock/>
          </v:shape>
          <o:OLEObject Type="Embed" ProgID="Excel.Chart.8" ShapeID="_x0000_i1027" DrawAspect="Content" ObjectID="_1468075727" r:id="rId11">
            <o:LockedField>false</o:LockedField>
          </o:OLEObject>
        </w:object>
      </w:r>
    </w:p>
    <w:p>
      <w:pPr>
        <w:spacing w:line="600" w:lineRule="exact"/>
        <w:ind w:firstLine="640" w:firstLineChars="200"/>
        <w:outlineLvl w:val="1"/>
        <w:rPr>
          <w:rStyle w:val="29"/>
          <w:rFonts w:ascii="黑体" w:hAnsi="黑体" w:eastAsia="黑体"/>
          <w:b w:val="0"/>
        </w:rPr>
      </w:pPr>
      <w:bookmarkStart w:id="29" w:name="_Toc15396607"/>
      <w:bookmarkStart w:id="30" w:name="_Toc15377209"/>
      <w:bookmarkStart w:id="31" w:name="_Toc5669"/>
      <w:r>
        <w:rPr>
          <w:rFonts w:hint="eastAsia" w:ascii="黑体" w:hAnsi="黑体" w:eastAsia="黑体"/>
          <w:sz w:val="32"/>
          <w:szCs w:val="32"/>
        </w:rPr>
        <w:t>五、</w:t>
      </w:r>
      <w:r>
        <w:rPr>
          <w:rFonts w:hint="eastAsia" w:ascii="黑体" w:hAnsi="黑体" w:eastAsia="黑体"/>
          <w:b/>
          <w:sz w:val="32"/>
          <w:szCs w:val="32"/>
        </w:rPr>
        <w:t>一</w:t>
      </w:r>
      <w:r>
        <w:rPr>
          <w:rStyle w:val="29"/>
          <w:rFonts w:hint="eastAsia" w:ascii="黑体" w:hAnsi="黑体" w:eastAsia="黑体"/>
          <w:b w:val="0"/>
        </w:rPr>
        <w:t>般公共预算财政拨款支出决算情况说明</w:t>
      </w:r>
      <w:bookmarkEnd w:id="29"/>
      <w:bookmarkEnd w:id="30"/>
      <w:bookmarkEnd w:id="31"/>
    </w:p>
    <w:p>
      <w:pPr>
        <w:spacing w:line="600" w:lineRule="exact"/>
        <w:ind w:firstLine="663" w:firstLineChars="200"/>
        <w:outlineLvl w:val="2"/>
        <w:rPr>
          <w:rFonts w:hint="eastAsia" w:ascii="方正楷体_GBK" w:hAnsi="方正楷体_GBK" w:eastAsia="方正楷体_GBK" w:cs="方正楷体_GBK"/>
          <w:b/>
          <w:sz w:val="33"/>
          <w:szCs w:val="33"/>
        </w:rPr>
      </w:pPr>
      <w:bookmarkStart w:id="32" w:name="_Toc15377210"/>
      <w:bookmarkStart w:id="33" w:name="_Toc21128"/>
      <w:r>
        <w:rPr>
          <w:rFonts w:hint="eastAsia" w:ascii="方正楷体_GBK" w:hAnsi="方正楷体_GBK" w:eastAsia="方正楷体_GBK" w:cs="方正楷体_GBK"/>
          <w:b/>
          <w:sz w:val="33"/>
          <w:szCs w:val="33"/>
        </w:rPr>
        <w:t>（一）一般公共预算财政拨款支出决算总体情况</w:t>
      </w:r>
      <w:bookmarkEnd w:id="32"/>
      <w:bookmarkEnd w:id="33"/>
    </w:p>
    <w:p>
      <w:pPr>
        <w:spacing w:line="576" w:lineRule="exact"/>
        <w:ind w:firstLine="660" w:firstLineChars="200"/>
        <w:rPr>
          <w:rFonts w:eastAsia="方正仿宋_GBK"/>
          <w:color w:val="000000"/>
          <w:kern w:val="0"/>
          <w:sz w:val="33"/>
          <w:szCs w:val="33"/>
        </w:rPr>
      </w:pPr>
      <w:bookmarkStart w:id="34" w:name="_Toc15377211"/>
      <w:r>
        <w:rPr>
          <w:rFonts w:hint="eastAsia" w:eastAsia="方正仿宋_GBK"/>
          <w:color w:val="000000"/>
          <w:kern w:val="0"/>
          <w:sz w:val="33"/>
          <w:szCs w:val="33"/>
        </w:rPr>
        <w:t>2022</w:t>
      </w:r>
      <w:r>
        <w:rPr>
          <w:rFonts w:eastAsia="方正仿宋_GBK"/>
          <w:color w:val="000000"/>
          <w:kern w:val="0"/>
          <w:sz w:val="33"/>
          <w:szCs w:val="33"/>
        </w:rPr>
        <w:t>年一般公共预算财政拨款支出</w:t>
      </w:r>
      <w:r>
        <w:rPr>
          <w:rFonts w:hint="eastAsia" w:eastAsia="方正仿宋_GBK"/>
          <w:color w:val="000000"/>
          <w:kern w:val="0"/>
          <w:sz w:val="33"/>
          <w:szCs w:val="33"/>
        </w:rPr>
        <w:t>3227.56</w:t>
      </w:r>
      <w:r>
        <w:rPr>
          <w:rFonts w:eastAsia="方正仿宋_GBK"/>
          <w:color w:val="000000"/>
          <w:kern w:val="0"/>
          <w:sz w:val="33"/>
          <w:szCs w:val="33"/>
        </w:rPr>
        <w:t>万元，占本年支出合计的</w:t>
      </w:r>
      <w:r>
        <w:rPr>
          <w:rFonts w:hint="eastAsia" w:eastAsia="方正仿宋_GBK"/>
          <w:color w:val="000000"/>
          <w:kern w:val="0"/>
          <w:sz w:val="33"/>
          <w:szCs w:val="33"/>
        </w:rPr>
        <w:t>100</w:t>
      </w:r>
      <w:r>
        <w:rPr>
          <w:rFonts w:eastAsia="方正仿宋_GBK"/>
          <w:color w:val="000000"/>
          <w:kern w:val="0"/>
          <w:sz w:val="33"/>
          <w:szCs w:val="33"/>
        </w:rPr>
        <w:t>%。与</w:t>
      </w:r>
      <w:r>
        <w:rPr>
          <w:rFonts w:hint="eastAsia" w:eastAsia="方正仿宋_GBK"/>
          <w:color w:val="000000"/>
          <w:kern w:val="0"/>
          <w:sz w:val="33"/>
          <w:szCs w:val="33"/>
        </w:rPr>
        <w:t>2021</w:t>
      </w:r>
      <w:r>
        <w:rPr>
          <w:rFonts w:eastAsia="方正仿宋_GBK"/>
          <w:color w:val="000000"/>
          <w:kern w:val="0"/>
          <w:sz w:val="33"/>
          <w:szCs w:val="33"/>
        </w:rPr>
        <w:t>年</w:t>
      </w:r>
      <w:r>
        <w:rPr>
          <w:rFonts w:hint="eastAsia" w:eastAsia="方正仿宋_GBK"/>
          <w:color w:val="000000"/>
          <w:kern w:val="0"/>
          <w:sz w:val="33"/>
          <w:szCs w:val="33"/>
        </w:rPr>
        <w:t>相比</w:t>
      </w:r>
      <w:r>
        <w:rPr>
          <w:rFonts w:eastAsia="方正仿宋_GBK"/>
          <w:color w:val="000000"/>
          <w:kern w:val="0"/>
          <w:sz w:val="33"/>
          <w:szCs w:val="33"/>
        </w:rPr>
        <w:t>，一般公共预算财政拨款</w:t>
      </w:r>
      <w:r>
        <w:rPr>
          <w:rFonts w:hint="eastAsia" w:eastAsia="方正仿宋_GBK"/>
          <w:color w:val="000000"/>
          <w:kern w:val="0"/>
          <w:sz w:val="33"/>
          <w:szCs w:val="33"/>
        </w:rPr>
        <w:t>增加477.87</w:t>
      </w:r>
      <w:r>
        <w:rPr>
          <w:rFonts w:eastAsia="方正仿宋_GBK"/>
          <w:color w:val="000000"/>
          <w:kern w:val="0"/>
          <w:sz w:val="33"/>
          <w:szCs w:val="33"/>
        </w:rPr>
        <w:t>万元，</w:t>
      </w:r>
      <w:r>
        <w:rPr>
          <w:rFonts w:hint="eastAsia" w:eastAsia="方正仿宋_GBK"/>
          <w:color w:val="000000"/>
          <w:kern w:val="0"/>
          <w:sz w:val="33"/>
          <w:szCs w:val="33"/>
        </w:rPr>
        <w:t>增加17.38%</w:t>
      </w:r>
      <w:r>
        <w:rPr>
          <w:rFonts w:eastAsia="方正仿宋_GBK"/>
          <w:color w:val="000000"/>
          <w:kern w:val="0"/>
          <w:sz w:val="33"/>
          <w:szCs w:val="33"/>
        </w:rPr>
        <w:t>。主要变动原因是</w:t>
      </w:r>
      <w:r>
        <w:rPr>
          <w:rFonts w:hint="eastAsia" w:eastAsia="方正仿宋_GBK"/>
          <w:color w:val="000000"/>
          <w:kern w:val="0"/>
          <w:sz w:val="33"/>
          <w:szCs w:val="33"/>
        </w:rPr>
        <w:t>2022年人员及项目经费比2021年支出增大。</w:t>
      </w:r>
    </w:p>
    <w:p>
      <w:pPr>
        <w:spacing w:line="576" w:lineRule="exact"/>
        <w:ind w:firstLine="660" w:firstLineChars="200"/>
        <w:rPr>
          <w:rFonts w:eastAsia="方正仿宋_GBK"/>
          <w:color w:val="000000"/>
          <w:kern w:val="0"/>
          <w:sz w:val="33"/>
          <w:szCs w:val="33"/>
        </w:rPr>
      </w:pPr>
      <w:r>
        <w:rPr>
          <w:rFonts w:eastAsia="方正仿宋_GBK"/>
          <w:color w:val="000000"/>
          <w:kern w:val="0"/>
          <w:sz w:val="33"/>
          <w:szCs w:val="33"/>
        </w:rPr>
        <w:t>（图5：一般公共预算财政拨款支出决算变动情况）（柱状图）</w:t>
      </w:r>
    </w:p>
    <w:p>
      <w:pPr>
        <w:spacing w:line="576" w:lineRule="exact"/>
        <w:rPr>
          <w:rFonts w:eastAsia="方正仿宋_GBK"/>
          <w:color w:val="000000"/>
          <w:kern w:val="0"/>
          <w:sz w:val="33"/>
          <w:szCs w:val="33"/>
        </w:rPr>
      </w:pPr>
    </w:p>
    <w:p>
      <w:pPr>
        <w:ind w:firstLine="660" w:firstLineChars="200"/>
        <w:outlineLvl w:val="2"/>
        <w:rPr>
          <w:rFonts w:eastAsia="方正仿宋_GBK"/>
          <w:color w:val="000000"/>
          <w:kern w:val="0"/>
          <w:sz w:val="33"/>
          <w:szCs w:val="33"/>
        </w:rPr>
      </w:pPr>
      <w:bookmarkStart w:id="35" w:name="_Toc14441"/>
      <w:r>
        <w:rPr>
          <w:rFonts w:hint="eastAsia" w:eastAsia="方正仿宋_GBK"/>
          <w:color w:val="000000"/>
          <w:kern w:val="0"/>
          <w:sz w:val="33"/>
          <w:szCs w:val="33"/>
        </w:rPr>
        <w:object>
          <v:shape id="_x0000_i1028" o:spt="75" type="#_x0000_t75" style="height:209.1pt;width:327.7pt;" o:ole="t" filled="f" o:preferrelative="t" stroked="f" coordsize="21600,21600">
            <v:path/>
            <v:fill on="f" focussize="0,0"/>
            <v:stroke on="f" joinstyle="miter"/>
            <v:imagedata r:id="rId14" o:title=""/>
            <o:lock v:ext="edit" aspectratio="t"/>
            <w10:wrap type="none"/>
            <w10:anchorlock/>
          </v:shape>
          <o:OLEObject Type="Embed" ProgID="Excel.Chart.8" ShapeID="_x0000_i1028" DrawAspect="Content" ObjectID="_1468075728" r:id="rId13">
            <o:LockedField>false</o:LockedField>
          </o:OLEObject>
        </w:object>
      </w:r>
      <w:bookmarkEnd w:id="35"/>
    </w:p>
    <w:p>
      <w:pPr>
        <w:ind w:firstLine="663" w:firstLineChars="200"/>
        <w:outlineLvl w:val="2"/>
        <w:rPr>
          <w:rFonts w:hint="eastAsia" w:ascii="方正楷体_GBK" w:hAnsi="方正楷体_GBK" w:eastAsia="方正楷体_GBK" w:cs="方正楷体_GBK"/>
          <w:b/>
          <w:sz w:val="33"/>
          <w:szCs w:val="33"/>
        </w:rPr>
      </w:pPr>
      <w:bookmarkStart w:id="36" w:name="_Toc24663"/>
      <w:r>
        <w:rPr>
          <w:rFonts w:hint="eastAsia" w:ascii="方正楷体_GBK" w:hAnsi="方正楷体_GBK" w:eastAsia="方正楷体_GBK" w:cs="方正楷体_GBK"/>
          <w:b/>
          <w:sz w:val="33"/>
          <w:szCs w:val="33"/>
        </w:rPr>
        <w:t>（二）一般公共预算财政拨款支出决算结构情况</w:t>
      </w:r>
      <w:bookmarkEnd w:id="34"/>
      <w:bookmarkEnd w:id="36"/>
    </w:p>
    <w:p>
      <w:pPr>
        <w:spacing w:line="600" w:lineRule="exact"/>
        <w:ind w:firstLine="660" w:firstLineChars="200"/>
        <w:rPr>
          <w:rFonts w:ascii="仿宋" w:hAnsi="仿宋" w:eastAsia="仿宋"/>
          <w:sz w:val="32"/>
          <w:szCs w:val="32"/>
        </w:rPr>
      </w:pPr>
      <w:r>
        <w:rPr>
          <w:rFonts w:hint="eastAsia" w:eastAsia="方正仿宋_GBK"/>
          <w:color w:val="000000"/>
          <w:kern w:val="0"/>
          <w:sz w:val="33"/>
          <w:szCs w:val="33"/>
        </w:rPr>
        <w:t>2022</w:t>
      </w:r>
      <w:r>
        <w:rPr>
          <w:rFonts w:eastAsia="方正仿宋_GBK"/>
          <w:color w:val="000000"/>
          <w:kern w:val="0"/>
          <w:sz w:val="33"/>
          <w:szCs w:val="33"/>
        </w:rPr>
        <w:t>年一般公共预算财政拨款支出</w:t>
      </w:r>
      <w:r>
        <w:rPr>
          <w:rFonts w:hint="eastAsia" w:eastAsia="方正仿宋_GBK"/>
          <w:color w:val="000000"/>
          <w:kern w:val="0"/>
          <w:sz w:val="33"/>
          <w:szCs w:val="33"/>
        </w:rPr>
        <w:t>3227.56</w:t>
      </w:r>
      <w:r>
        <w:rPr>
          <w:rFonts w:eastAsia="方正仿宋_GBK"/>
          <w:color w:val="000000"/>
          <w:kern w:val="0"/>
          <w:sz w:val="33"/>
          <w:szCs w:val="33"/>
        </w:rPr>
        <w:t>万元，主要用于以下方面:</w:t>
      </w:r>
      <w:r>
        <w:rPr>
          <w:rFonts w:eastAsia="方正仿宋_GBK"/>
          <w:b/>
          <w:bCs/>
          <w:color w:val="000000"/>
          <w:kern w:val="0"/>
          <w:sz w:val="33"/>
          <w:szCs w:val="33"/>
        </w:rPr>
        <w:t>一般公共服务支出</w:t>
      </w:r>
      <w:r>
        <w:rPr>
          <w:rFonts w:hint="eastAsia" w:eastAsia="方正仿宋_GBK"/>
          <w:color w:val="000000"/>
          <w:kern w:val="0"/>
          <w:sz w:val="33"/>
          <w:szCs w:val="33"/>
        </w:rPr>
        <w:t>2735.54</w:t>
      </w:r>
      <w:r>
        <w:rPr>
          <w:rFonts w:eastAsia="方正仿宋_GBK"/>
          <w:color w:val="000000"/>
          <w:kern w:val="0"/>
          <w:sz w:val="33"/>
          <w:szCs w:val="33"/>
        </w:rPr>
        <w:t>万元，占</w:t>
      </w:r>
      <w:r>
        <w:rPr>
          <w:rFonts w:hint="eastAsia" w:eastAsia="方正仿宋_GBK"/>
          <w:color w:val="000000"/>
          <w:kern w:val="0"/>
          <w:sz w:val="33"/>
          <w:szCs w:val="33"/>
        </w:rPr>
        <w:t>84.76</w:t>
      </w:r>
      <w:r>
        <w:rPr>
          <w:rFonts w:eastAsia="方正仿宋_GBK"/>
          <w:color w:val="000000"/>
          <w:kern w:val="0"/>
          <w:sz w:val="33"/>
          <w:szCs w:val="33"/>
        </w:rPr>
        <w:t>%；</w:t>
      </w:r>
      <w:r>
        <w:rPr>
          <w:rFonts w:eastAsia="方正仿宋_GBK"/>
          <w:b/>
          <w:bCs/>
          <w:color w:val="000000"/>
          <w:kern w:val="0"/>
          <w:sz w:val="33"/>
          <w:szCs w:val="33"/>
        </w:rPr>
        <w:t>教育支出</w:t>
      </w:r>
      <w:r>
        <w:rPr>
          <w:rFonts w:eastAsia="方正仿宋_GBK"/>
          <w:color w:val="000000"/>
          <w:kern w:val="0"/>
          <w:sz w:val="33"/>
          <w:szCs w:val="33"/>
        </w:rPr>
        <w:t>0万元，占0%；</w:t>
      </w:r>
      <w:r>
        <w:rPr>
          <w:rFonts w:eastAsia="方正仿宋_GBK"/>
          <w:b/>
          <w:bCs/>
          <w:color w:val="000000"/>
          <w:kern w:val="0"/>
          <w:sz w:val="33"/>
          <w:szCs w:val="33"/>
        </w:rPr>
        <w:t>科学技术支出</w:t>
      </w:r>
      <w:r>
        <w:rPr>
          <w:rFonts w:eastAsia="方正仿宋_GBK"/>
          <w:color w:val="000000"/>
          <w:kern w:val="0"/>
          <w:sz w:val="33"/>
          <w:szCs w:val="33"/>
        </w:rPr>
        <w:t>0万元，占0%；</w:t>
      </w:r>
      <w:r>
        <w:rPr>
          <w:rFonts w:eastAsia="方正仿宋_GBK"/>
          <w:b/>
          <w:bCs/>
          <w:color w:val="000000"/>
          <w:kern w:val="0"/>
          <w:sz w:val="33"/>
          <w:szCs w:val="33"/>
        </w:rPr>
        <w:t>文化旅游体育与传媒支出</w:t>
      </w:r>
      <w:r>
        <w:rPr>
          <w:rFonts w:eastAsia="方正仿宋_GBK"/>
          <w:color w:val="000000"/>
          <w:kern w:val="0"/>
          <w:sz w:val="33"/>
          <w:szCs w:val="33"/>
        </w:rPr>
        <w:t>0万元，占0%；</w:t>
      </w:r>
      <w:r>
        <w:rPr>
          <w:rFonts w:eastAsia="方正仿宋_GBK"/>
          <w:b/>
          <w:bCs/>
          <w:color w:val="000000"/>
          <w:kern w:val="0"/>
          <w:sz w:val="33"/>
          <w:szCs w:val="33"/>
        </w:rPr>
        <w:t>社会保障和就业支出</w:t>
      </w:r>
      <w:r>
        <w:rPr>
          <w:rFonts w:hint="eastAsia" w:eastAsia="方正仿宋_GBK"/>
          <w:color w:val="000000"/>
          <w:kern w:val="0"/>
          <w:sz w:val="33"/>
          <w:szCs w:val="33"/>
        </w:rPr>
        <w:t>310.64</w:t>
      </w:r>
      <w:r>
        <w:rPr>
          <w:rFonts w:eastAsia="方正仿宋_GBK"/>
          <w:color w:val="000000"/>
          <w:kern w:val="0"/>
          <w:sz w:val="33"/>
          <w:szCs w:val="33"/>
        </w:rPr>
        <w:t>万元，占</w:t>
      </w:r>
      <w:r>
        <w:rPr>
          <w:rFonts w:hint="eastAsia" w:eastAsia="方正仿宋_GBK"/>
          <w:color w:val="000000"/>
          <w:kern w:val="0"/>
          <w:sz w:val="33"/>
          <w:szCs w:val="33"/>
        </w:rPr>
        <w:t>9.62</w:t>
      </w:r>
      <w:r>
        <w:rPr>
          <w:rFonts w:eastAsia="方正仿宋_GBK"/>
          <w:color w:val="000000"/>
          <w:kern w:val="0"/>
          <w:sz w:val="33"/>
          <w:szCs w:val="33"/>
        </w:rPr>
        <w:t>%；</w:t>
      </w:r>
      <w:r>
        <w:rPr>
          <w:rFonts w:eastAsia="方正仿宋_GBK"/>
          <w:b/>
          <w:bCs/>
          <w:color w:val="000000"/>
          <w:kern w:val="0"/>
          <w:sz w:val="33"/>
          <w:szCs w:val="33"/>
        </w:rPr>
        <w:t>卫生健康支出</w:t>
      </w:r>
      <w:r>
        <w:rPr>
          <w:rFonts w:hint="eastAsia" w:eastAsia="方正仿宋_GBK"/>
          <w:color w:val="000000"/>
          <w:kern w:val="0"/>
          <w:sz w:val="33"/>
          <w:szCs w:val="33"/>
        </w:rPr>
        <w:t>0</w:t>
      </w:r>
      <w:r>
        <w:rPr>
          <w:rFonts w:eastAsia="方正仿宋_GBK"/>
          <w:color w:val="000000"/>
          <w:kern w:val="0"/>
          <w:sz w:val="33"/>
          <w:szCs w:val="33"/>
        </w:rPr>
        <w:t>万元，占0%；</w:t>
      </w:r>
      <w:r>
        <w:rPr>
          <w:rFonts w:eastAsia="方正仿宋_GBK"/>
          <w:b/>
          <w:bCs/>
          <w:color w:val="000000"/>
          <w:kern w:val="0"/>
          <w:sz w:val="33"/>
          <w:szCs w:val="33"/>
        </w:rPr>
        <w:t>住房保障支出</w:t>
      </w:r>
      <w:r>
        <w:rPr>
          <w:rFonts w:hint="eastAsia" w:eastAsia="方正仿宋_GBK"/>
          <w:color w:val="000000"/>
          <w:kern w:val="0"/>
          <w:sz w:val="33"/>
          <w:szCs w:val="33"/>
        </w:rPr>
        <w:t>181.37</w:t>
      </w:r>
      <w:r>
        <w:rPr>
          <w:rFonts w:eastAsia="方正仿宋_GBK"/>
          <w:color w:val="000000"/>
          <w:kern w:val="0"/>
          <w:sz w:val="33"/>
          <w:szCs w:val="33"/>
        </w:rPr>
        <w:t>万元，占5.</w:t>
      </w:r>
      <w:r>
        <w:rPr>
          <w:rFonts w:hint="eastAsia" w:eastAsia="方正仿宋_GBK"/>
          <w:color w:val="000000"/>
          <w:kern w:val="0"/>
          <w:sz w:val="33"/>
          <w:szCs w:val="33"/>
        </w:rPr>
        <w:t>62</w:t>
      </w:r>
      <w:r>
        <w:rPr>
          <w:rFonts w:eastAsia="方正仿宋_GBK"/>
          <w:color w:val="000000"/>
          <w:kern w:val="0"/>
          <w:sz w:val="33"/>
          <w:szCs w:val="33"/>
        </w:rPr>
        <w:t>%；</w:t>
      </w:r>
    </w:p>
    <w:p>
      <w:pPr>
        <w:spacing w:line="576" w:lineRule="exact"/>
        <w:rPr>
          <w:rFonts w:eastAsia="方正仿宋_GBK"/>
          <w:color w:val="000000"/>
          <w:kern w:val="0"/>
          <w:sz w:val="33"/>
          <w:szCs w:val="33"/>
        </w:rPr>
      </w:pPr>
      <w:r>
        <w:rPr>
          <w:rFonts w:eastAsia="方正仿宋_GBK"/>
          <w:color w:val="000000"/>
          <w:kern w:val="0"/>
          <w:sz w:val="33"/>
          <w:szCs w:val="33"/>
        </w:rPr>
        <w:t>（图6：一般公共预算财政拨款支出决算结构）（饼状图）</w:t>
      </w:r>
    </w:p>
    <w:p>
      <w:pPr>
        <w:ind w:firstLine="660" w:firstLineChars="200"/>
        <w:rPr>
          <w:rFonts w:ascii="仿宋" w:hAnsi="仿宋" w:eastAsia="仿宋"/>
          <w:sz w:val="32"/>
          <w:szCs w:val="32"/>
        </w:rPr>
      </w:pPr>
      <w:r>
        <w:rPr>
          <w:rFonts w:hint="eastAsia" w:eastAsia="方正仿宋_GBK"/>
          <w:color w:val="000000"/>
          <w:kern w:val="0"/>
          <w:sz w:val="33"/>
          <w:szCs w:val="33"/>
        </w:rPr>
        <w:object>
          <v:shape id="_x0000_i1029" o:spt="75" type="#_x0000_t75" style="height:203.55pt;width:318.9pt;" o:ole="t" filled="f" o:preferrelative="t" stroked="f" coordsize="21600,21600">
            <v:path/>
            <v:fill on="f" focussize="0,0"/>
            <v:stroke on="f" joinstyle="miter"/>
            <v:imagedata r:id="rId16" o:title=""/>
            <o:lock v:ext="edit" aspectratio="t"/>
            <w10:wrap type="none"/>
            <w10:anchorlock/>
          </v:shape>
          <o:OLEObject Type="Embed" ProgID="Excel.Chart.8" ShapeID="_x0000_i1029" DrawAspect="Content" ObjectID="_1468075729" r:id="rId15">
            <o:LockedField>false</o:LockedField>
          </o:OLEObject>
        </w:object>
      </w:r>
    </w:p>
    <w:p>
      <w:pPr>
        <w:spacing w:line="600" w:lineRule="exact"/>
        <w:ind w:firstLine="663" w:firstLineChars="200"/>
        <w:outlineLvl w:val="2"/>
        <w:rPr>
          <w:rFonts w:hint="eastAsia" w:ascii="方正楷体_GBK" w:hAnsi="方正楷体_GBK" w:eastAsia="方正楷体_GBK" w:cs="方正楷体_GBK"/>
          <w:b/>
          <w:sz w:val="33"/>
          <w:szCs w:val="33"/>
        </w:rPr>
      </w:pPr>
      <w:bookmarkStart w:id="37" w:name="_Toc15377212"/>
      <w:bookmarkStart w:id="38" w:name="_Toc7118"/>
      <w:r>
        <w:rPr>
          <w:rFonts w:hint="eastAsia" w:ascii="方正楷体_GBK" w:hAnsi="方正楷体_GBK" w:eastAsia="方正楷体_GBK" w:cs="方正楷体_GBK"/>
          <w:b/>
          <w:sz w:val="33"/>
          <w:szCs w:val="33"/>
        </w:rPr>
        <w:t>（三）一般公共预算财政拨款支出决算具体情况</w:t>
      </w:r>
      <w:bookmarkEnd w:id="37"/>
      <w:bookmarkEnd w:id="38"/>
    </w:p>
    <w:p>
      <w:pPr>
        <w:spacing w:line="576" w:lineRule="exact"/>
        <w:ind w:firstLine="660" w:firstLineChars="200"/>
        <w:rPr>
          <w:rFonts w:eastAsia="方正仿宋_GBK"/>
          <w:color w:val="000000"/>
          <w:kern w:val="0"/>
          <w:sz w:val="33"/>
          <w:szCs w:val="33"/>
        </w:rPr>
      </w:pPr>
      <w:r>
        <w:rPr>
          <w:rFonts w:hint="eastAsia" w:eastAsia="方正仿宋_GBK"/>
          <w:bCs/>
          <w:color w:val="000000"/>
          <w:kern w:val="0"/>
          <w:sz w:val="33"/>
          <w:szCs w:val="33"/>
        </w:rPr>
        <w:t>2022</w:t>
      </w:r>
      <w:r>
        <w:rPr>
          <w:rFonts w:eastAsia="方正仿宋_GBK"/>
          <w:bCs/>
          <w:color w:val="000000"/>
          <w:kern w:val="0"/>
          <w:sz w:val="33"/>
          <w:szCs w:val="33"/>
        </w:rPr>
        <w:t>年</w:t>
      </w:r>
      <w:r>
        <w:rPr>
          <w:rFonts w:eastAsia="方正仿宋_GBK"/>
          <w:b/>
          <w:color w:val="000000"/>
          <w:kern w:val="0"/>
          <w:sz w:val="33"/>
          <w:szCs w:val="33"/>
        </w:rPr>
        <w:t>一般公共预算支出</w:t>
      </w:r>
      <w:r>
        <w:rPr>
          <w:rFonts w:eastAsia="方正仿宋_GBK"/>
          <w:color w:val="000000"/>
          <w:kern w:val="0"/>
          <w:sz w:val="33"/>
          <w:szCs w:val="33"/>
        </w:rPr>
        <w:t>决算数为</w:t>
      </w:r>
      <w:r>
        <w:rPr>
          <w:rFonts w:hint="eastAsia" w:eastAsia="方正仿宋_GBK"/>
          <w:color w:val="000000"/>
          <w:kern w:val="0"/>
          <w:sz w:val="33"/>
          <w:szCs w:val="33"/>
        </w:rPr>
        <w:t>3227.56</w:t>
      </w:r>
      <w:r>
        <w:rPr>
          <w:rFonts w:eastAsia="方正仿宋_GBK"/>
          <w:color w:val="000000"/>
          <w:kern w:val="0"/>
          <w:sz w:val="33"/>
          <w:szCs w:val="33"/>
        </w:rPr>
        <w:t>万元，完成预算</w:t>
      </w:r>
      <w:r>
        <w:rPr>
          <w:rFonts w:hint="eastAsia" w:eastAsia="方正仿宋_GBK"/>
          <w:color w:val="000000"/>
          <w:kern w:val="0"/>
          <w:sz w:val="33"/>
          <w:szCs w:val="33"/>
        </w:rPr>
        <w:t>100</w:t>
      </w:r>
      <w:r>
        <w:rPr>
          <w:rFonts w:eastAsia="方正仿宋_GBK"/>
          <w:color w:val="000000"/>
          <w:kern w:val="0"/>
          <w:sz w:val="33"/>
          <w:szCs w:val="33"/>
        </w:rPr>
        <w:t>%。其中：</w:t>
      </w:r>
    </w:p>
    <w:p>
      <w:pPr>
        <w:spacing w:line="576" w:lineRule="exact"/>
        <w:ind w:firstLine="649" w:firstLineChars="196"/>
        <w:rPr>
          <w:rFonts w:eastAsia="方正仿宋_GBK"/>
          <w:bCs/>
          <w:color w:val="C0504D"/>
          <w:sz w:val="33"/>
          <w:szCs w:val="33"/>
        </w:rPr>
      </w:pPr>
      <w:r>
        <w:rPr>
          <w:rFonts w:eastAsia="方正仿宋_GBK"/>
          <w:b/>
          <w:color w:val="000000"/>
          <w:kern w:val="0"/>
          <w:sz w:val="33"/>
          <w:szCs w:val="33"/>
        </w:rPr>
        <w:t>1</w:t>
      </w:r>
      <w:r>
        <w:rPr>
          <w:rFonts w:eastAsia="方正仿宋_GBK"/>
          <w:b/>
          <w:color w:val="000000"/>
          <w:sz w:val="33"/>
          <w:szCs w:val="33"/>
        </w:rPr>
        <w:t>．一般公共服务（类）纪检监察事务（款）行政运行（项）</w:t>
      </w:r>
      <w:r>
        <w:rPr>
          <w:rFonts w:eastAsia="方正仿宋_GBK"/>
          <w:bCs/>
          <w:color w:val="000000"/>
          <w:sz w:val="33"/>
          <w:szCs w:val="33"/>
        </w:rPr>
        <w:t>:</w:t>
      </w:r>
      <w:r>
        <w:rPr>
          <w:rFonts w:eastAsia="方正仿宋_GBK"/>
          <w:sz w:val="33"/>
          <w:szCs w:val="33"/>
        </w:rPr>
        <w:t xml:space="preserve"> </w:t>
      </w:r>
      <w:r>
        <w:rPr>
          <w:rFonts w:eastAsia="方正仿宋_GBK"/>
          <w:bCs/>
          <w:color w:val="000000"/>
          <w:sz w:val="33"/>
          <w:szCs w:val="33"/>
        </w:rPr>
        <w:t>支出决算为</w:t>
      </w:r>
      <w:r>
        <w:rPr>
          <w:rFonts w:hint="eastAsia" w:eastAsia="方正仿宋_GBK"/>
          <w:bCs/>
          <w:color w:val="000000"/>
          <w:sz w:val="33"/>
          <w:szCs w:val="33"/>
        </w:rPr>
        <w:t>1677.84</w:t>
      </w:r>
      <w:r>
        <w:rPr>
          <w:rFonts w:eastAsia="方正仿宋_GBK"/>
          <w:bCs/>
          <w:color w:val="000000"/>
          <w:sz w:val="33"/>
          <w:szCs w:val="33"/>
        </w:rPr>
        <w:t>万元，</w:t>
      </w:r>
      <w:r>
        <w:rPr>
          <w:rFonts w:eastAsia="方正仿宋_GBK"/>
          <w:bCs/>
          <w:sz w:val="33"/>
          <w:szCs w:val="33"/>
        </w:rPr>
        <w:t>完成预算100%，决算数与预算数持平</w:t>
      </w:r>
      <w:r>
        <w:rPr>
          <w:rFonts w:hint="eastAsia" w:eastAsia="方正仿宋_GBK"/>
          <w:bCs/>
          <w:sz w:val="33"/>
          <w:szCs w:val="33"/>
        </w:rPr>
        <w:t>。</w:t>
      </w:r>
    </w:p>
    <w:p>
      <w:pPr>
        <w:spacing w:line="576" w:lineRule="exact"/>
        <w:ind w:firstLine="649" w:firstLineChars="196"/>
        <w:rPr>
          <w:rFonts w:eastAsia="方正仿宋_GBK"/>
          <w:bCs/>
          <w:sz w:val="33"/>
          <w:szCs w:val="33"/>
        </w:rPr>
      </w:pPr>
      <w:r>
        <w:rPr>
          <w:rFonts w:eastAsia="方正仿宋_GBK"/>
          <w:b/>
          <w:kern w:val="0"/>
          <w:sz w:val="33"/>
          <w:szCs w:val="33"/>
        </w:rPr>
        <w:t>2</w:t>
      </w:r>
      <w:r>
        <w:rPr>
          <w:rFonts w:eastAsia="方正仿宋_GBK"/>
          <w:b/>
          <w:sz w:val="33"/>
          <w:szCs w:val="33"/>
        </w:rPr>
        <w:t>． 一般公共服务（类）纪检监察事务（款）一般行政管理事务（项）</w:t>
      </w:r>
      <w:r>
        <w:rPr>
          <w:rFonts w:eastAsia="方正仿宋_GBK"/>
          <w:bCs/>
          <w:sz w:val="33"/>
          <w:szCs w:val="33"/>
        </w:rPr>
        <w:t>:</w:t>
      </w:r>
      <w:r>
        <w:rPr>
          <w:rFonts w:eastAsia="方正仿宋_GBK"/>
          <w:sz w:val="33"/>
          <w:szCs w:val="33"/>
        </w:rPr>
        <w:t xml:space="preserve"> </w:t>
      </w:r>
      <w:r>
        <w:rPr>
          <w:rFonts w:eastAsia="方正仿宋_GBK"/>
          <w:bCs/>
          <w:sz w:val="33"/>
          <w:szCs w:val="33"/>
        </w:rPr>
        <w:t>支出决算数为</w:t>
      </w:r>
      <w:r>
        <w:rPr>
          <w:rFonts w:hint="eastAsia" w:eastAsia="方正仿宋_GBK"/>
          <w:bCs/>
          <w:sz w:val="33"/>
          <w:szCs w:val="33"/>
        </w:rPr>
        <w:t>356.25</w:t>
      </w:r>
      <w:r>
        <w:rPr>
          <w:rFonts w:eastAsia="方正仿宋_GBK"/>
          <w:bCs/>
          <w:sz w:val="33"/>
          <w:szCs w:val="33"/>
        </w:rPr>
        <w:t>万元，完成预算100%，决算数与预算数持平。</w:t>
      </w:r>
    </w:p>
    <w:p>
      <w:pPr>
        <w:spacing w:line="576" w:lineRule="exact"/>
        <w:ind w:firstLine="649" w:firstLineChars="196"/>
        <w:rPr>
          <w:rFonts w:eastAsia="方正仿宋_GBK"/>
          <w:bCs/>
          <w:sz w:val="33"/>
          <w:szCs w:val="33"/>
        </w:rPr>
      </w:pPr>
      <w:r>
        <w:rPr>
          <w:rFonts w:eastAsia="方正仿宋_GBK"/>
          <w:b/>
          <w:kern w:val="0"/>
          <w:sz w:val="33"/>
          <w:szCs w:val="33"/>
        </w:rPr>
        <w:t>3．</w:t>
      </w:r>
      <w:r>
        <w:rPr>
          <w:rFonts w:eastAsia="方正仿宋_GBK"/>
          <w:b/>
          <w:sz w:val="33"/>
          <w:szCs w:val="33"/>
        </w:rPr>
        <w:t xml:space="preserve"> 一般公共服务（类）纪检监察事务（款）</w:t>
      </w:r>
      <w:r>
        <w:rPr>
          <w:rFonts w:hint="eastAsia" w:eastAsia="方正仿宋_GBK"/>
          <w:b/>
          <w:sz w:val="33"/>
          <w:szCs w:val="33"/>
        </w:rPr>
        <w:t>大案要案查处</w:t>
      </w:r>
      <w:r>
        <w:rPr>
          <w:rFonts w:eastAsia="方正仿宋_GBK"/>
          <w:b/>
          <w:sz w:val="33"/>
          <w:szCs w:val="33"/>
        </w:rPr>
        <w:t>（项）</w:t>
      </w:r>
      <w:r>
        <w:rPr>
          <w:rFonts w:eastAsia="方正仿宋_GBK"/>
          <w:bCs/>
          <w:sz w:val="33"/>
          <w:szCs w:val="33"/>
        </w:rPr>
        <w:t>: 支出决算数为</w:t>
      </w:r>
      <w:r>
        <w:rPr>
          <w:rFonts w:hint="eastAsia" w:eastAsia="方正仿宋_GBK"/>
          <w:bCs/>
          <w:sz w:val="33"/>
          <w:szCs w:val="33"/>
        </w:rPr>
        <w:t>491.45</w:t>
      </w:r>
      <w:r>
        <w:rPr>
          <w:rFonts w:eastAsia="方正仿宋_GBK"/>
          <w:bCs/>
          <w:sz w:val="33"/>
          <w:szCs w:val="33"/>
        </w:rPr>
        <w:t>万元，完成预算100%，决算数与预算数持平</w:t>
      </w:r>
      <w:r>
        <w:rPr>
          <w:rFonts w:hint="eastAsia" w:eastAsia="方正仿宋_GBK"/>
          <w:bCs/>
          <w:sz w:val="33"/>
          <w:szCs w:val="33"/>
        </w:rPr>
        <w:t>。</w:t>
      </w:r>
    </w:p>
    <w:p>
      <w:pPr>
        <w:spacing w:line="576" w:lineRule="exact"/>
        <w:ind w:firstLine="649" w:firstLineChars="196"/>
        <w:rPr>
          <w:rFonts w:eastAsia="方正仿宋_GBK"/>
          <w:bCs/>
          <w:sz w:val="33"/>
          <w:szCs w:val="33"/>
        </w:rPr>
      </w:pPr>
      <w:r>
        <w:rPr>
          <w:rFonts w:eastAsia="方正仿宋_GBK"/>
          <w:b/>
          <w:kern w:val="0"/>
          <w:sz w:val="33"/>
          <w:szCs w:val="33"/>
        </w:rPr>
        <w:t>4</w:t>
      </w:r>
      <w:r>
        <w:rPr>
          <w:rFonts w:eastAsia="方正仿宋_GBK"/>
          <w:b/>
          <w:sz w:val="33"/>
          <w:szCs w:val="33"/>
        </w:rPr>
        <w:t xml:space="preserve">． </w:t>
      </w:r>
      <w:r>
        <w:rPr>
          <w:rFonts w:hint="eastAsia" w:eastAsia="方正仿宋_GBK"/>
          <w:b/>
          <w:sz w:val="33"/>
          <w:szCs w:val="33"/>
        </w:rPr>
        <w:t>一般</w:t>
      </w:r>
      <w:r>
        <w:rPr>
          <w:rFonts w:eastAsia="方正仿宋_GBK"/>
          <w:b/>
          <w:sz w:val="33"/>
          <w:szCs w:val="33"/>
        </w:rPr>
        <w:t>公共服务（类）纪检监察事务（款）巡视工作（项）</w:t>
      </w:r>
      <w:r>
        <w:rPr>
          <w:rFonts w:eastAsia="方正仿宋_GBK"/>
          <w:bCs/>
          <w:sz w:val="33"/>
          <w:szCs w:val="33"/>
        </w:rPr>
        <w:t>:</w:t>
      </w:r>
      <w:r>
        <w:rPr>
          <w:rFonts w:eastAsia="方正仿宋_GBK"/>
          <w:sz w:val="33"/>
          <w:szCs w:val="33"/>
        </w:rPr>
        <w:t xml:space="preserve"> </w:t>
      </w:r>
      <w:r>
        <w:rPr>
          <w:rFonts w:eastAsia="方正仿宋_GBK"/>
          <w:bCs/>
          <w:sz w:val="33"/>
          <w:szCs w:val="33"/>
        </w:rPr>
        <w:t>支出决算数为</w:t>
      </w:r>
      <w:r>
        <w:rPr>
          <w:rFonts w:hint="eastAsia" w:eastAsia="方正仿宋_GBK"/>
          <w:bCs/>
          <w:sz w:val="33"/>
          <w:szCs w:val="33"/>
        </w:rPr>
        <w:t>207.95</w:t>
      </w:r>
      <w:r>
        <w:rPr>
          <w:rFonts w:eastAsia="方正仿宋_GBK"/>
          <w:bCs/>
          <w:sz w:val="33"/>
          <w:szCs w:val="33"/>
        </w:rPr>
        <w:t>万元，完成预算</w:t>
      </w:r>
      <w:r>
        <w:rPr>
          <w:rFonts w:hint="eastAsia" w:eastAsia="方正仿宋_GBK"/>
          <w:bCs/>
          <w:sz w:val="33"/>
          <w:szCs w:val="33"/>
        </w:rPr>
        <w:t>100</w:t>
      </w:r>
      <w:r>
        <w:rPr>
          <w:rFonts w:eastAsia="方正仿宋_GBK"/>
          <w:bCs/>
          <w:sz w:val="33"/>
          <w:szCs w:val="33"/>
        </w:rPr>
        <w:t>%，决算数与预算数持平。</w:t>
      </w:r>
    </w:p>
    <w:p>
      <w:pPr>
        <w:spacing w:line="576" w:lineRule="exact"/>
        <w:ind w:firstLine="649" w:firstLineChars="196"/>
        <w:rPr>
          <w:rFonts w:eastAsia="方正仿宋_GBK"/>
          <w:bCs/>
          <w:sz w:val="33"/>
          <w:szCs w:val="33"/>
        </w:rPr>
      </w:pPr>
      <w:r>
        <w:rPr>
          <w:rFonts w:eastAsia="方正仿宋_GBK"/>
          <w:b/>
          <w:kern w:val="0"/>
          <w:sz w:val="33"/>
          <w:szCs w:val="33"/>
        </w:rPr>
        <w:t>5</w:t>
      </w:r>
      <w:r>
        <w:rPr>
          <w:rFonts w:eastAsia="方正仿宋_GBK"/>
          <w:b/>
          <w:sz w:val="33"/>
          <w:szCs w:val="33"/>
        </w:rPr>
        <w:t>． 一般公共服务（类）组织事务（款）其他组织事务支出（项）</w:t>
      </w:r>
      <w:r>
        <w:rPr>
          <w:rFonts w:eastAsia="方正仿宋_GBK"/>
          <w:bCs/>
          <w:sz w:val="33"/>
          <w:szCs w:val="33"/>
        </w:rPr>
        <w:t>:</w:t>
      </w:r>
      <w:r>
        <w:rPr>
          <w:rFonts w:eastAsia="方正仿宋_GBK"/>
          <w:sz w:val="33"/>
          <w:szCs w:val="33"/>
        </w:rPr>
        <w:t xml:space="preserve"> </w:t>
      </w:r>
      <w:r>
        <w:rPr>
          <w:rFonts w:eastAsia="方正仿宋_GBK"/>
          <w:bCs/>
          <w:sz w:val="33"/>
          <w:szCs w:val="33"/>
        </w:rPr>
        <w:t>支出决算数为</w:t>
      </w:r>
      <w:r>
        <w:rPr>
          <w:rFonts w:hint="eastAsia" w:eastAsia="方正仿宋_GBK"/>
          <w:bCs/>
          <w:sz w:val="33"/>
          <w:szCs w:val="33"/>
        </w:rPr>
        <w:t>2.06</w:t>
      </w:r>
      <w:r>
        <w:rPr>
          <w:rFonts w:eastAsia="方正仿宋_GBK"/>
          <w:bCs/>
          <w:sz w:val="33"/>
          <w:szCs w:val="33"/>
        </w:rPr>
        <w:t>万元，完成预算</w:t>
      </w:r>
      <w:r>
        <w:rPr>
          <w:rFonts w:hint="eastAsia" w:eastAsia="方正仿宋_GBK"/>
          <w:bCs/>
          <w:sz w:val="33"/>
          <w:szCs w:val="33"/>
        </w:rPr>
        <w:t>100</w:t>
      </w:r>
      <w:r>
        <w:rPr>
          <w:rFonts w:eastAsia="方正仿宋_GBK"/>
          <w:bCs/>
          <w:sz w:val="33"/>
          <w:szCs w:val="33"/>
        </w:rPr>
        <w:t>%，决算数与预算数持平。</w:t>
      </w:r>
    </w:p>
    <w:p>
      <w:pPr>
        <w:spacing w:line="576" w:lineRule="exact"/>
        <w:ind w:firstLine="649" w:firstLineChars="196"/>
        <w:rPr>
          <w:rFonts w:eastAsia="方正仿宋_GBK"/>
          <w:bCs/>
          <w:sz w:val="33"/>
          <w:szCs w:val="33"/>
        </w:rPr>
      </w:pPr>
      <w:r>
        <w:rPr>
          <w:rFonts w:eastAsia="方正仿宋_GBK"/>
          <w:b/>
          <w:bCs/>
          <w:kern w:val="0"/>
          <w:sz w:val="33"/>
          <w:szCs w:val="33"/>
        </w:rPr>
        <w:t>6</w:t>
      </w:r>
      <w:r>
        <w:rPr>
          <w:rFonts w:eastAsia="方正仿宋_GBK"/>
          <w:b/>
          <w:bCs/>
          <w:sz w:val="33"/>
          <w:szCs w:val="33"/>
        </w:rPr>
        <w:t>． 社会保障和就业（类）</w:t>
      </w:r>
      <w:r>
        <w:rPr>
          <w:rFonts w:hint="eastAsia" w:eastAsia="方正仿宋_GBK"/>
          <w:b/>
          <w:bCs/>
          <w:sz w:val="33"/>
          <w:szCs w:val="33"/>
        </w:rPr>
        <w:t>行政事业单位养老支出</w:t>
      </w:r>
      <w:r>
        <w:rPr>
          <w:rFonts w:eastAsia="方正仿宋_GBK"/>
          <w:b/>
          <w:bCs/>
          <w:sz w:val="33"/>
          <w:szCs w:val="33"/>
        </w:rPr>
        <w:t>（款）</w:t>
      </w:r>
      <w:r>
        <w:rPr>
          <w:rFonts w:hint="eastAsia" w:eastAsia="方正仿宋_GBK"/>
          <w:b/>
          <w:bCs/>
          <w:sz w:val="33"/>
          <w:szCs w:val="33"/>
        </w:rPr>
        <w:t>行政单位离退休</w:t>
      </w:r>
      <w:r>
        <w:rPr>
          <w:rFonts w:eastAsia="方正仿宋_GBK"/>
          <w:b/>
          <w:bCs/>
          <w:sz w:val="33"/>
          <w:szCs w:val="33"/>
        </w:rPr>
        <w:t>（项）</w:t>
      </w:r>
      <w:r>
        <w:rPr>
          <w:rFonts w:eastAsia="方正仿宋_GBK"/>
          <w:bCs/>
          <w:sz w:val="33"/>
          <w:szCs w:val="33"/>
        </w:rPr>
        <w:t>:</w:t>
      </w:r>
      <w:r>
        <w:rPr>
          <w:rFonts w:eastAsia="方正仿宋_GBK"/>
          <w:sz w:val="33"/>
          <w:szCs w:val="33"/>
        </w:rPr>
        <w:t xml:space="preserve"> </w:t>
      </w:r>
      <w:r>
        <w:rPr>
          <w:rFonts w:eastAsia="方正仿宋_GBK"/>
          <w:bCs/>
          <w:sz w:val="33"/>
          <w:szCs w:val="33"/>
        </w:rPr>
        <w:t>支出决算数为</w:t>
      </w:r>
      <w:r>
        <w:rPr>
          <w:rFonts w:hint="eastAsia" w:eastAsia="方正仿宋_GBK"/>
          <w:bCs/>
          <w:sz w:val="33"/>
          <w:szCs w:val="33"/>
        </w:rPr>
        <w:t>170.15</w:t>
      </w:r>
      <w:r>
        <w:rPr>
          <w:rFonts w:eastAsia="方正仿宋_GBK"/>
          <w:bCs/>
          <w:sz w:val="33"/>
          <w:szCs w:val="33"/>
        </w:rPr>
        <w:t>万元，完成预算100%，决算数与预算数持平。</w:t>
      </w:r>
    </w:p>
    <w:p>
      <w:pPr>
        <w:spacing w:line="576" w:lineRule="exact"/>
        <w:ind w:firstLine="663" w:firstLineChars="200"/>
        <w:rPr>
          <w:rFonts w:eastAsia="方正仿宋_GBK"/>
          <w:kern w:val="0"/>
          <w:sz w:val="33"/>
          <w:szCs w:val="33"/>
        </w:rPr>
      </w:pPr>
      <w:r>
        <w:rPr>
          <w:rFonts w:eastAsia="方正仿宋_GBK"/>
          <w:b/>
          <w:bCs/>
          <w:kern w:val="0"/>
          <w:sz w:val="33"/>
          <w:szCs w:val="33"/>
        </w:rPr>
        <w:t>7</w:t>
      </w:r>
      <w:r>
        <w:rPr>
          <w:rFonts w:eastAsia="方正仿宋_GBK"/>
          <w:b/>
          <w:bCs/>
          <w:sz w:val="33"/>
          <w:szCs w:val="33"/>
        </w:rPr>
        <w:t>． 社会保障和就业（类）</w:t>
      </w:r>
      <w:r>
        <w:rPr>
          <w:rFonts w:hint="eastAsia" w:eastAsia="方正仿宋_GBK"/>
          <w:b/>
          <w:bCs/>
          <w:sz w:val="33"/>
          <w:szCs w:val="33"/>
        </w:rPr>
        <w:t>行政事业单位养老支出</w:t>
      </w:r>
      <w:r>
        <w:rPr>
          <w:rFonts w:eastAsia="方正仿宋_GBK"/>
          <w:b/>
          <w:bCs/>
          <w:sz w:val="33"/>
          <w:szCs w:val="33"/>
        </w:rPr>
        <w:t>（款）</w:t>
      </w:r>
      <w:r>
        <w:rPr>
          <w:rFonts w:hint="eastAsia" w:eastAsia="方正仿宋_GBK"/>
          <w:b/>
          <w:bCs/>
          <w:sz w:val="33"/>
          <w:szCs w:val="33"/>
        </w:rPr>
        <w:t>机关事业单位基本养老保险缴费支出</w:t>
      </w:r>
      <w:r>
        <w:rPr>
          <w:rFonts w:eastAsia="方正仿宋_GBK"/>
          <w:b/>
          <w:bCs/>
          <w:sz w:val="33"/>
          <w:szCs w:val="33"/>
        </w:rPr>
        <w:t>（项）</w:t>
      </w:r>
      <w:r>
        <w:rPr>
          <w:rFonts w:eastAsia="方正仿宋_GBK"/>
          <w:sz w:val="33"/>
          <w:szCs w:val="33"/>
        </w:rPr>
        <w:t>: 支出决算数为</w:t>
      </w:r>
      <w:r>
        <w:rPr>
          <w:rFonts w:hint="eastAsia" w:eastAsia="方正仿宋_GBK"/>
          <w:sz w:val="33"/>
          <w:szCs w:val="33"/>
        </w:rPr>
        <w:t>110.85万元,完成预算</w:t>
      </w:r>
      <w:r>
        <w:rPr>
          <w:rFonts w:eastAsia="方正仿宋_GBK"/>
          <w:sz w:val="33"/>
          <w:szCs w:val="33"/>
        </w:rPr>
        <w:t>100%，决算数与预算数持平。</w:t>
      </w:r>
    </w:p>
    <w:p>
      <w:pPr>
        <w:spacing w:line="576" w:lineRule="exact"/>
        <w:ind w:firstLine="663" w:firstLineChars="200"/>
        <w:rPr>
          <w:rFonts w:eastAsia="方正仿宋_GBK"/>
          <w:sz w:val="33"/>
          <w:szCs w:val="33"/>
        </w:rPr>
      </w:pPr>
      <w:r>
        <w:rPr>
          <w:rFonts w:eastAsia="方正仿宋_GBK"/>
          <w:b/>
          <w:bCs/>
          <w:color w:val="000000"/>
          <w:kern w:val="0"/>
          <w:sz w:val="33"/>
          <w:szCs w:val="33"/>
        </w:rPr>
        <w:t>8</w:t>
      </w:r>
      <w:r>
        <w:rPr>
          <w:rFonts w:eastAsia="方正仿宋_GBK"/>
          <w:b/>
          <w:bCs/>
          <w:color w:val="000000"/>
          <w:sz w:val="33"/>
          <w:szCs w:val="33"/>
        </w:rPr>
        <w:t>． 社会保障和就业（类）</w:t>
      </w:r>
      <w:r>
        <w:rPr>
          <w:rFonts w:hint="eastAsia" w:eastAsia="方正仿宋_GBK"/>
          <w:b/>
          <w:bCs/>
          <w:color w:val="000000"/>
          <w:sz w:val="33"/>
          <w:szCs w:val="33"/>
        </w:rPr>
        <w:t>抚恤</w:t>
      </w:r>
      <w:r>
        <w:rPr>
          <w:rFonts w:eastAsia="方正仿宋_GBK"/>
          <w:b/>
          <w:bCs/>
          <w:color w:val="000000"/>
          <w:sz w:val="33"/>
          <w:szCs w:val="33"/>
        </w:rPr>
        <w:t>（款）</w:t>
      </w:r>
      <w:r>
        <w:rPr>
          <w:rFonts w:hint="eastAsia" w:eastAsia="方正仿宋_GBK"/>
          <w:b/>
          <w:bCs/>
          <w:color w:val="000000"/>
          <w:sz w:val="33"/>
          <w:szCs w:val="33"/>
        </w:rPr>
        <w:t>死亡抚恤</w:t>
      </w:r>
      <w:r>
        <w:rPr>
          <w:rFonts w:eastAsia="方正仿宋_GBK"/>
          <w:b/>
          <w:bCs/>
          <w:color w:val="000000"/>
          <w:sz w:val="33"/>
          <w:szCs w:val="33"/>
        </w:rPr>
        <w:t>（项）</w:t>
      </w:r>
      <w:r>
        <w:rPr>
          <w:rFonts w:eastAsia="方正仿宋_GBK"/>
          <w:color w:val="000000"/>
          <w:sz w:val="33"/>
          <w:szCs w:val="33"/>
        </w:rPr>
        <w:t>:</w:t>
      </w:r>
      <w:r>
        <w:rPr>
          <w:rFonts w:eastAsia="方正仿宋_GBK"/>
          <w:sz w:val="33"/>
          <w:szCs w:val="33"/>
        </w:rPr>
        <w:t xml:space="preserve"> </w:t>
      </w:r>
      <w:r>
        <w:rPr>
          <w:rFonts w:eastAsia="方正仿宋_GBK"/>
          <w:color w:val="000000"/>
          <w:sz w:val="33"/>
          <w:szCs w:val="33"/>
        </w:rPr>
        <w:t>支出决算数为</w:t>
      </w:r>
      <w:r>
        <w:rPr>
          <w:rFonts w:hint="eastAsia" w:eastAsia="方正仿宋_GBK"/>
          <w:color w:val="000000"/>
          <w:sz w:val="33"/>
          <w:szCs w:val="33"/>
        </w:rPr>
        <w:t>29.14</w:t>
      </w:r>
      <w:r>
        <w:rPr>
          <w:rFonts w:eastAsia="方正仿宋_GBK"/>
          <w:color w:val="000000"/>
          <w:sz w:val="33"/>
          <w:szCs w:val="33"/>
        </w:rPr>
        <w:t>万元，完成预算100%，</w:t>
      </w:r>
      <w:r>
        <w:rPr>
          <w:rFonts w:eastAsia="方正仿宋_GBK"/>
          <w:sz w:val="33"/>
          <w:szCs w:val="33"/>
        </w:rPr>
        <w:t>决算数与预算数持平</w:t>
      </w:r>
      <w:r>
        <w:rPr>
          <w:rFonts w:hint="eastAsia" w:eastAsia="方正仿宋_GBK"/>
          <w:sz w:val="33"/>
          <w:szCs w:val="33"/>
        </w:rPr>
        <w:t>。</w:t>
      </w:r>
    </w:p>
    <w:p>
      <w:pPr>
        <w:spacing w:line="576" w:lineRule="exact"/>
        <w:ind w:firstLine="663" w:firstLineChars="200"/>
        <w:rPr>
          <w:rFonts w:eastAsia="方正仿宋_GBK"/>
          <w:sz w:val="33"/>
          <w:szCs w:val="33"/>
        </w:rPr>
      </w:pPr>
      <w:r>
        <w:rPr>
          <w:rFonts w:hint="eastAsia" w:eastAsia="方正仿宋_GBK"/>
          <w:b/>
          <w:bCs/>
          <w:kern w:val="0"/>
          <w:sz w:val="33"/>
          <w:szCs w:val="33"/>
        </w:rPr>
        <w:t>9</w:t>
      </w:r>
      <w:r>
        <w:rPr>
          <w:rFonts w:eastAsia="方正仿宋_GBK"/>
          <w:b/>
          <w:bCs/>
          <w:sz w:val="33"/>
          <w:szCs w:val="33"/>
        </w:rPr>
        <w:t>． 社会保障和就业（类）社会福利（款）儿童福利（项）</w:t>
      </w:r>
      <w:r>
        <w:rPr>
          <w:rFonts w:eastAsia="方正仿宋_GBK"/>
          <w:sz w:val="33"/>
          <w:szCs w:val="33"/>
        </w:rPr>
        <w:t>: 支出决算数为0.5</w:t>
      </w:r>
      <w:r>
        <w:rPr>
          <w:rFonts w:hint="eastAsia" w:eastAsia="方正仿宋_GBK"/>
          <w:sz w:val="33"/>
          <w:szCs w:val="33"/>
        </w:rPr>
        <w:t>0</w:t>
      </w:r>
      <w:r>
        <w:rPr>
          <w:rFonts w:eastAsia="方正仿宋_GBK"/>
          <w:sz w:val="33"/>
          <w:szCs w:val="33"/>
        </w:rPr>
        <w:t>万元，完成预算100%，决算数与预算数持平。</w:t>
      </w:r>
    </w:p>
    <w:p>
      <w:pPr>
        <w:spacing w:line="576" w:lineRule="exact"/>
        <w:ind w:firstLine="663" w:firstLineChars="200"/>
        <w:rPr>
          <w:rFonts w:eastAsia="仿宋"/>
          <w:b/>
          <w:sz w:val="32"/>
          <w:szCs w:val="32"/>
        </w:rPr>
      </w:pPr>
      <w:r>
        <w:rPr>
          <w:rFonts w:eastAsia="方正仿宋_GBK"/>
          <w:b/>
          <w:bCs/>
          <w:sz w:val="33"/>
          <w:szCs w:val="33"/>
        </w:rPr>
        <w:t>1</w:t>
      </w:r>
      <w:r>
        <w:rPr>
          <w:rFonts w:hint="eastAsia" w:eastAsia="方正仿宋_GBK"/>
          <w:b/>
          <w:bCs/>
          <w:sz w:val="33"/>
          <w:szCs w:val="33"/>
        </w:rPr>
        <w:t>0</w:t>
      </w:r>
      <w:r>
        <w:rPr>
          <w:rFonts w:eastAsia="方正仿宋_GBK"/>
          <w:b/>
          <w:bCs/>
          <w:sz w:val="33"/>
          <w:szCs w:val="33"/>
        </w:rPr>
        <w:t>． 住房保障支出（类）住房改革支出（款）住房公积金（项）</w:t>
      </w:r>
      <w:r>
        <w:rPr>
          <w:rFonts w:eastAsia="方正仿宋_GBK"/>
          <w:sz w:val="33"/>
          <w:szCs w:val="33"/>
        </w:rPr>
        <w:t>: 支出决算数为181.37万元，完成预算100%，决算数与预算数持平。</w:t>
      </w:r>
    </w:p>
    <w:p>
      <w:pPr>
        <w:tabs>
          <w:tab w:val="right" w:pos="8306"/>
        </w:tabs>
        <w:spacing w:line="600" w:lineRule="exact"/>
        <w:ind w:firstLine="640"/>
        <w:outlineLvl w:val="1"/>
        <w:rPr>
          <w:rStyle w:val="29"/>
          <w:rFonts w:ascii="Times New Roman" w:hAnsi="Times New Roman" w:cs="Times New Roman"/>
        </w:rPr>
      </w:pPr>
      <w:bookmarkStart w:id="39" w:name="_Toc15396608"/>
      <w:bookmarkStart w:id="40" w:name="_Toc15377214"/>
      <w:bookmarkStart w:id="41" w:name="_Toc20434"/>
      <w:r>
        <w:rPr>
          <w:rFonts w:eastAsia="黑体"/>
          <w:sz w:val="32"/>
          <w:szCs w:val="32"/>
        </w:rPr>
        <w:t>六</w:t>
      </w:r>
      <w:r>
        <w:rPr>
          <w:rFonts w:eastAsia="黑体"/>
          <w:b/>
          <w:sz w:val="32"/>
          <w:szCs w:val="32"/>
        </w:rPr>
        <w:t>、一</w:t>
      </w:r>
      <w:r>
        <w:rPr>
          <w:rStyle w:val="29"/>
          <w:rFonts w:ascii="Times New Roman" w:hAnsi="Times New Roman" w:eastAsia="黑体" w:cs="Times New Roman"/>
          <w:b w:val="0"/>
        </w:rPr>
        <w:t>般公共预算财政拨款基本支出决算情况说明</w:t>
      </w:r>
      <w:bookmarkEnd w:id="39"/>
      <w:bookmarkEnd w:id="40"/>
      <w:bookmarkEnd w:id="41"/>
      <w:r>
        <w:rPr>
          <w:rStyle w:val="29"/>
          <w:rFonts w:ascii="Times New Roman" w:hAnsi="Times New Roman" w:eastAsia="黑体" w:cs="Times New Roman"/>
          <w:b w:val="0"/>
        </w:rPr>
        <w:tab/>
      </w:r>
    </w:p>
    <w:p>
      <w:pPr>
        <w:spacing w:line="600" w:lineRule="exact"/>
        <w:ind w:firstLine="645"/>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2022年一般公共预算财政拨款基本支出2171.41万元，其中：</w:t>
      </w:r>
    </w:p>
    <w:p>
      <w:pPr>
        <w:spacing w:line="600" w:lineRule="exact"/>
        <w:ind w:firstLine="645"/>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人员经费</w:t>
      </w:r>
      <w:r>
        <w:rPr>
          <w:rFonts w:hint="default" w:ascii="Times New Roman" w:hAnsi="Times New Roman" w:eastAsia="方正仿宋_GBK" w:cs="Times New Roman"/>
          <w:color w:val="000000"/>
          <w:kern w:val="0"/>
          <w:sz w:val="33"/>
          <w:szCs w:val="33"/>
        </w:rPr>
        <w:t>1953.17</w:t>
      </w:r>
      <w:r>
        <w:rPr>
          <w:rFonts w:hint="default" w:ascii="Times New Roman" w:hAnsi="Times New Roman" w:eastAsia="方正仿宋_GBK" w:cs="Times New Roman"/>
          <w:sz w:val="33"/>
          <w:szCs w:val="33"/>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spacing w:line="600" w:lineRule="exact"/>
        <w:ind w:firstLine="645"/>
        <w:rPr>
          <w:rFonts w:hint="default" w:ascii="Times New Roman" w:hAnsi="Times New Roman" w:eastAsia="方正仿宋_GBK" w:cs="Times New Roman"/>
          <w:b/>
          <w:sz w:val="33"/>
          <w:szCs w:val="33"/>
        </w:rPr>
      </w:pPr>
      <w:r>
        <w:rPr>
          <w:rFonts w:hint="default" w:ascii="Times New Roman" w:hAnsi="Times New Roman" w:eastAsia="方正仿宋_GBK" w:cs="Times New Roman"/>
          <w:sz w:val="33"/>
          <w:szCs w:val="33"/>
        </w:rPr>
        <w:t>公用经费218.24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9"/>
          <w:rFonts w:ascii="Times New Roman" w:hAnsi="Times New Roman" w:eastAsia="黑体" w:cs="Times New Roman"/>
          <w:b w:val="0"/>
        </w:rPr>
      </w:pPr>
      <w:bookmarkStart w:id="42" w:name="_Toc15396609"/>
      <w:bookmarkStart w:id="43" w:name="_Toc16378"/>
      <w:bookmarkStart w:id="44" w:name="_Toc15377215"/>
      <w:r>
        <w:rPr>
          <w:rFonts w:eastAsia="黑体"/>
          <w:sz w:val="32"/>
          <w:szCs w:val="32"/>
        </w:rPr>
        <w:t>七、</w:t>
      </w:r>
      <w:r>
        <w:rPr>
          <w:rStyle w:val="29"/>
          <w:rFonts w:ascii="Times New Roman" w:hAnsi="Times New Roman" w:eastAsia="黑体" w:cs="Times New Roman"/>
          <w:b w:val="0"/>
        </w:rPr>
        <w:t>财政拨款</w:t>
      </w:r>
      <w:r>
        <w:rPr>
          <w:rStyle w:val="29"/>
          <w:rFonts w:ascii="Times New Roman" w:hAnsi="Times New Roman" w:eastAsia="黑体" w:cs="Times New Roman"/>
        </w:rPr>
        <w:t>“</w:t>
      </w:r>
      <w:r>
        <w:rPr>
          <w:rStyle w:val="29"/>
          <w:rFonts w:ascii="Times New Roman" w:hAnsi="Times New Roman" w:eastAsia="黑体" w:cs="Times New Roman"/>
          <w:b w:val="0"/>
        </w:rPr>
        <w:t>三公”经费支出决算情况说明</w:t>
      </w:r>
      <w:bookmarkEnd w:id="42"/>
      <w:bookmarkEnd w:id="43"/>
      <w:bookmarkEnd w:id="44"/>
    </w:p>
    <w:p>
      <w:pPr>
        <w:spacing w:line="600" w:lineRule="exact"/>
        <w:ind w:firstLine="640"/>
        <w:outlineLvl w:val="2"/>
        <w:rPr>
          <w:rFonts w:hint="default" w:ascii="Times New Roman" w:hAnsi="Times New Roman" w:eastAsia="方正楷体_GBK" w:cs="Times New Roman"/>
          <w:b/>
          <w:sz w:val="33"/>
          <w:szCs w:val="33"/>
        </w:rPr>
      </w:pPr>
      <w:bookmarkStart w:id="45" w:name="_Toc19605"/>
      <w:bookmarkStart w:id="46" w:name="_Toc15377216"/>
      <w:r>
        <w:rPr>
          <w:rFonts w:hint="default" w:ascii="Times New Roman" w:hAnsi="Times New Roman" w:eastAsia="方正楷体_GBK" w:cs="Times New Roman"/>
          <w:b/>
          <w:sz w:val="33"/>
          <w:szCs w:val="33"/>
        </w:rPr>
        <w:t>（一）“三公”经费财政拨款支出决算总体情况说明</w:t>
      </w:r>
      <w:bookmarkEnd w:id="45"/>
      <w:bookmarkEnd w:id="46"/>
    </w:p>
    <w:p>
      <w:pPr>
        <w:spacing w:line="600" w:lineRule="exact"/>
        <w:ind w:firstLine="640"/>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2022年“三公”经费财政拨款支出决算为30.92万元，完成预算85.81%，较上年减少18.57万元，下降37.51%。</w:t>
      </w:r>
      <w:r>
        <w:rPr>
          <w:rFonts w:hint="default" w:ascii="Times New Roman" w:hAnsi="Times New Roman" w:eastAsia="方正仿宋_GBK" w:cs="Times New Roman"/>
          <w:sz w:val="33"/>
          <w:szCs w:val="33"/>
          <w:highlight w:val="none"/>
        </w:rPr>
        <w:t>决算数小于预算数的</w:t>
      </w:r>
      <w:r>
        <w:rPr>
          <w:rFonts w:hint="default" w:ascii="Times New Roman" w:hAnsi="Times New Roman" w:eastAsia="方正仿宋_GBK" w:cs="Times New Roman"/>
          <w:sz w:val="33"/>
          <w:szCs w:val="33"/>
        </w:rPr>
        <w:t>主要原因是今年无车辆购置费。</w:t>
      </w:r>
    </w:p>
    <w:p>
      <w:pPr>
        <w:spacing w:line="600" w:lineRule="exact"/>
        <w:ind w:firstLine="640"/>
        <w:outlineLvl w:val="2"/>
        <w:rPr>
          <w:rFonts w:hint="default" w:ascii="Times New Roman" w:hAnsi="Times New Roman" w:eastAsia="方正楷体_GBK" w:cs="Times New Roman"/>
          <w:b/>
          <w:sz w:val="33"/>
          <w:szCs w:val="33"/>
        </w:rPr>
      </w:pPr>
      <w:bookmarkStart w:id="47" w:name="_Toc19071"/>
      <w:bookmarkStart w:id="48" w:name="_Toc15377217"/>
      <w:r>
        <w:rPr>
          <w:rFonts w:hint="default" w:ascii="Times New Roman" w:hAnsi="Times New Roman" w:eastAsia="方正楷体_GBK" w:cs="Times New Roman"/>
          <w:b/>
          <w:sz w:val="33"/>
          <w:szCs w:val="33"/>
        </w:rPr>
        <w:t>（二）“三公”经费财政拨款支出决算具体情况说明</w:t>
      </w:r>
      <w:bookmarkEnd w:id="47"/>
      <w:bookmarkEnd w:id="48"/>
    </w:p>
    <w:p>
      <w:pPr>
        <w:spacing w:line="600" w:lineRule="exact"/>
        <w:ind w:firstLine="640"/>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2022年“三公”经费财政拨款支出决算中，因公出国（境）费支出决算0万元，占0%；公务用车购置及运行维护费支出决算</w:t>
      </w:r>
      <w:r>
        <w:rPr>
          <w:rFonts w:hint="default" w:ascii="Times New Roman" w:hAnsi="Times New Roman" w:eastAsia="方正仿宋_GBK" w:cs="Times New Roman"/>
          <w:color w:val="000000"/>
          <w:kern w:val="0"/>
          <w:sz w:val="33"/>
          <w:szCs w:val="33"/>
        </w:rPr>
        <w:t>28.90万元，占93.47%</w:t>
      </w:r>
      <w:r>
        <w:rPr>
          <w:rFonts w:hint="default" w:ascii="Times New Roman" w:hAnsi="Times New Roman" w:eastAsia="方正仿宋_GBK" w:cs="Times New Roman"/>
          <w:sz w:val="33"/>
          <w:szCs w:val="33"/>
        </w:rPr>
        <w:t>；公务接待费支出决算</w:t>
      </w:r>
      <w:r>
        <w:rPr>
          <w:rFonts w:hint="default" w:ascii="Times New Roman" w:hAnsi="Times New Roman" w:eastAsia="方正仿宋_GBK" w:cs="Times New Roman"/>
          <w:color w:val="000000"/>
          <w:kern w:val="0"/>
          <w:sz w:val="33"/>
          <w:szCs w:val="33"/>
        </w:rPr>
        <w:t>2.02万元，占6.53%</w:t>
      </w:r>
      <w:r>
        <w:rPr>
          <w:rFonts w:hint="default" w:ascii="Times New Roman" w:hAnsi="Times New Roman" w:eastAsia="方正仿宋_GBK" w:cs="Times New Roman"/>
          <w:sz w:val="33"/>
          <w:szCs w:val="33"/>
        </w:rPr>
        <w:t>。具体情况如下：</w:t>
      </w:r>
    </w:p>
    <w:p>
      <w:pPr>
        <w:spacing w:line="600" w:lineRule="exact"/>
        <w:ind w:firstLine="640"/>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（图7：“三公”经费财政拨款支出结构）（饼状图）</w:t>
      </w:r>
    </w:p>
    <w:p>
      <w:pPr>
        <w:ind w:firstLine="660" w:firstLineChars="200"/>
        <w:rPr>
          <w:rFonts w:eastAsia="方正仿宋_GBK"/>
          <w:color w:val="000000"/>
          <w:kern w:val="0"/>
          <w:sz w:val="33"/>
          <w:szCs w:val="33"/>
        </w:rPr>
      </w:pPr>
      <w:r>
        <w:rPr>
          <w:rFonts w:eastAsia="方正仿宋_GBK"/>
          <w:color w:val="000000"/>
          <w:kern w:val="0"/>
          <w:sz w:val="33"/>
          <w:szCs w:val="33"/>
        </w:rPr>
        <w:object>
          <v:shape id="_x0000_i1030" o:spt="75" type="#_x0000_t75" style="height:206.3pt;width:323.1pt;" o:ole="t" filled="f" o:preferrelative="t" stroked="f" coordsize="21600,21600">
            <v:path/>
            <v:fill on="f" focussize="0,0"/>
            <v:stroke on="f" joinstyle="miter"/>
            <v:imagedata r:id="rId18" o:title=""/>
            <o:lock v:ext="edit" aspectratio="t"/>
            <w10:wrap type="none"/>
            <w10:anchorlock/>
          </v:shape>
          <o:OLEObject Type="Embed" ProgID="Excel.Chart.8" ShapeID="_x0000_i1030" DrawAspect="Content" ObjectID="_1468075730" r:id="rId17">
            <o:LockedField>false</o:LockedField>
          </o:OLEObject>
        </w:object>
      </w:r>
    </w:p>
    <w:p>
      <w:pPr>
        <w:pStyle w:val="2"/>
      </w:pPr>
    </w:p>
    <w:p>
      <w:pPr>
        <w:spacing w:line="600" w:lineRule="exact"/>
        <w:ind w:firstLine="640"/>
        <w:rPr>
          <w:rFonts w:hint="default" w:ascii="Times New Roman" w:hAnsi="Times New Roman" w:eastAsia="方正仿宋_GBK" w:cs="Times New Roman"/>
          <w:sz w:val="33"/>
          <w:szCs w:val="33"/>
        </w:rPr>
      </w:pPr>
      <w:r>
        <w:rPr>
          <w:rFonts w:hint="default" w:ascii="Times New Roman" w:hAnsi="Times New Roman" w:eastAsia="方正仿宋_GBK" w:cs="Times New Roman"/>
          <w:b/>
          <w:sz w:val="33"/>
          <w:szCs w:val="33"/>
        </w:rPr>
        <w:t>1.因公出国（境）经费支出</w:t>
      </w:r>
      <w:r>
        <w:rPr>
          <w:rFonts w:hint="default" w:ascii="Times New Roman" w:hAnsi="Times New Roman" w:eastAsia="方正仿宋_GBK" w:cs="Times New Roman"/>
          <w:sz w:val="33"/>
          <w:szCs w:val="33"/>
        </w:rPr>
        <w:t>0万元，</w:t>
      </w:r>
      <w:r>
        <w:rPr>
          <w:rStyle w:val="18"/>
          <w:rFonts w:hint="default" w:ascii="Times New Roman" w:hAnsi="Times New Roman" w:eastAsia="方正仿宋_GBK" w:cs="Times New Roman"/>
          <w:b w:val="0"/>
          <w:bCs/>
          <w:sz w:val="33"/>
          <w:szCs w:val="33"/>
        </w:rPr>
        <w:t>完成预算0%。</w:t>
      </w:r>
      <w:r>
        <w:rPr>
          <w:rFonts w:hint="default" w:ascii="Times New Roman" w:hAnsi="Times New Roman" w:eastAsia="方正仿宋_GBK" w:cs="Times New Roman"/>
          <w:sz w:val="33"/>
          <w:szCs w:val="33"/>
        </w:rPr>
        <w:t>全年安排因公出国（境）团组0次，出国（境）0人。因公出国（境）支出决算比2021年增加/减少0万元，增长/下降0%。主要原因是无因公出国（境）支出。</w:t>
      </w:r>
    </w:p>
    <w:p>
      <w:pPr>
        <w:spacing w:line="576" w:lineRule="exact"/>
        <w:ind w:firstLine="663" w:firstLineChars="200"/>
        <w:rPr>
          <w:rFonts w:hint="default" w:ascii="Times New Roman" w:hAnsi="Times New Roman" w:eastAsia="方正仿宋_GBK" w:cs="Times New Roman"/>
          <w:b/>
          <w:sz w:val="33"/>
          <w:szCs w:val="33"/>
        </w:rPr>
      </w:pPr>
      <w:r>
        <w:rPr>
          <w:rFonts w:hint="default" w:ascii="Times New Roman" w:hAnsi="Times New Roman" w:eastAsia="方正仿宋_GBK" w:cs="Times New Roman"/>
          <w:b/>
          <w:sz w:val="33"/>
          <w:szCs w:val="33"/>
        </w:rPr>
        <w:t>2.公务用车购置及运行维护费支出</w:t>
      </w:r>
      <w:r>
        <w:rPr>
          <w:rFonts w:hint="default" w:ascii="Times New Roman" w:hAnsi="Times New Roman" w:eastAsia="方正仿宋_GBK" w:cs="Times New Roman"/>
          <w:color w:val="000000"/>
          <w:kern w:val="0"/>
          <w:sz w:val="33"/>
          <w:szCs w:val="33"/>
        </w:rPr>
        <w:t>28.90万元,完成预算93.47%</w:t>
      </w:r>
      <w:r>
        <w:rPr>
          <w:rStyle w:val="18"/>
          <w:rFonts w:hint="default" w:ascii="Times New Roman" w:hAnsi="Times New Roman" w:eastAsia="方正仿宋_GBK" w:cs="Times New Roman"/>
          <w:b w:val="0"/>
          <w:bCs/>
          <w:sz w:val="33"/>
          <w:szCs w:val="33"/>
        </w:rPr>
        <w:t>。</w:t>
      </w:r>
      <w:r>
        <w:rPr>
          <w:rFonts w:hint="default" w:ascii="Times New Roman" w:hAnsi="Times New Roman" w:eastAsia="方正仿宋_GBK" w:cs="Times New Roman"/>
          <w:color w:val="000000"/>
          <w:kern w:val="0"/>
          <w:sz w:val="33"/>
          <w:szCs w:val="33"/>
        </w:rPr>
        <w:t>公务用车购置及运行维护费支出决算比2021年减少17.96万元，下降38.33%。主要原因是</w:t>
      </w:r>
      <w:r>
        <w:rPr>
          <w:rFonts w:hint="default" w:ascii="Times New Roman" w:hAnsi="Times New Roman" w:eastAsia="方正仿宋_GBK" w:cs="Times New Roman"/>
          <w:color w:val="000000"/>
          <w:sz w:val="33"/>
          <w:szCs w:val="33"/>
        </w:rPr>
        <w:t>我单位去今年未购置新的车辆</w:t>
      </w:r>
      <w:r>
        <w:rPr>
          <w:rFonts w:hint="default" w:ascii="Times New Roman" w:hAnsi="Times New Roman" w:eastAsia="方正仿宋_GBK" w:cs="Times New Roman"/>
          <w:color w:val="000000"/>
          <w:kern w:val="0"/>
          <w:sz w:val="33"/>
          <w:szCs w:val="33"/>
        </w:rPr>
        <w:t>。</w:t>
      </w:r>
    </w:p>
    <w:p>
      <w:pPr>
        <w:spacing w:line="600" w:lineRule="exact"/>
        <w:ind w:firstLine="660" w:firstLineChars="200"/>
        <w:rPr>
          <w:rFonts w:hint="default" w:ascii="Times New Roman" w:hAnsi="Times New Roman" w:eastAsia="方正仿宋_GBK" w:cs="Times New Roman"/>
          <w:b/>
          <w:sz w:val="33"/>
          <w:szCs w:val="33"/>
        </w:rPr>
      </w:pPr>
      <w:r>
        <w:rPr>
          <w:rFonts w:hint="default" w:ascii="Times New Roman" w:hAnsi="Times New Roman" w:eastAsia="方正仿宋_GBK" w:cs="Times New Roman"/>
          <w:sz w:val="33"/>
          <w:szCs w:val="33"/>
        </w:rPr>
        <w:t>其中：</w:t>
      </w:r>
      <w:r>
        <w:rPr>
          <w:rFonts w:hint="default" w:ascii="Times New Roman" w:hAnsi="Times New Roman" w:eastAsia="方正仿宋_GBK" w:cs="Times New Roman"/>
          <w:b/>
          <w:sz w:val="33"/>
          <w:szCs w:val="33"/>
        </w:rPr>
        <w:t>公务用车购置支出</w:t>
      </w:r>
      <w:r>
        <w:rPr>
          <w:rFonts w:hint="default" w:ascii="Times New Roman" w:hAnsi="Times New Roman" w:eastAsia="方正仿宋_GBK" w:cs="Times New Roman"/>
          <w:sz w:val="33"/>
          <w:szCs w:val="33"/>
        </w:rPr>
        <w:t>0万元。全年按规定更新购置公务用车0辆，其中：轿车0辆、金额0万元，越野车0辆、金额0万元，载客汽车0辆、金额0万元。截至2022年12月底，</w:t>
      </w:r>
      <w:r>
        <w:rPr>
          <w:rFonts w:hint="default" w:ascii="Times New Roman" w:hAnsi="Times New Roman" w:eastAsia="方正仿宋_GBK" w:cs="Times New Roman"/>
          <w:color w:val="000000"/>
          <w:kern w:val="0"/>
          <w:sz w:val="33"/>
          <w:szCs w:val="33"/>
        </w:rPr>
        <w:t>单位共有公务用车1</w:t>
      </w:r>
      <w:r>
        <w:rPr>
          <w:rFonts w:hint="eastAsia" w:eastAsia="方正仿宋_GBK" w:cs="Times New Roman"/>
          <w:color w:val="000000"/>
          <w:kern w:val="0"/>
          <w:sz w:val="33"/>
          <w:szCs w:val="33"/>
          <w:lang w:val="en-US" w:eastAsia="zh-CN"/>
        </w:rPr>
        <w:t>8</w:t>
      </w:r>
      <w:r>
        <w:rPr>
          <w:rFonts w:hint="default" w:ascii="Times New Roman" w:hAnsi="Times New Roman" w:eastAsia="方正仿宋_GBK" w:cs="Times New Roman"/>
          <w:color w:val="000000"/>
          <w:kern w:val="0"/>
          <w:sz w:val="33"/>
          <w:szCs w:val="33"/>
        </w:rPr>
        <w:t>辆，其中：轿车1</w:t>
      </w:r>
      <w:r>
        <w:rPr>
          <w:rFonts w:hint="eastAsia" w:eastAsia="方正仿宋_GBK" w:cs="Times New Roman"/>
          <w:color w:val="000000"/>
          <w:kern w:val="0"/>
          <w:sz w:val="33"/>
          <w:szCs w:val="33"/>
          <w:lang w:val="en-US" w:eastAsia="zh-CN"/>
        </w:rPr>
        <w:t>3</w:t>
      </w:r>
      <w:r>
        <w:rPr>
          <w:rFonts w:hint="default" w:ascii="Times New Roman" w:hAnsi="Times New Roman" w:eastAsia="方正仿宋_GBK" w:cs="Times New Roman"/>
          <w:color w:val="000000"/>
          <w:kern w:val="0"/>
          <w:sz w:val="33"/>
          <w:szCs w:val="33"/>
        </w:rPr>
        <w:t>辆、越野车5辆、载客汽车0辆</w:t>
      </w:r>
      <w:r>
        <w:rPr>
          <w:rFonts w:hint="default" w:ascii="Times New Roman" w:hAnsi="Times New Roman" w:eastAsia="方正仿宋_GBK" w:cs="Times New Roman"/>
          <w:sz w:val="33"/>
          <w:szCs w:val="33"/>
        </w:rPr>
        <w:t>。</w:t>
      </w:r>
    </w:p>
    <w:p>
      <w:pPr>
        <w:spacing w:line="576" w:lineRule="exact"/>
        <w:ind w:firstLine="663" w:firstLineChars="200"/>
        <w:rPr>
          <w:rFonts w:hint="default" w:ascii="Times New Roman" w:hAnsi="Times New Roman" w:eastAsia="方正仿宋_GBK" w:cs="Times New Roman"/>
          <w:color w:val="000000"/>
          <w:kern w:val="0"/>
          <w:sz w:val="33"/>
          <w:szCs w:val="33"/>
        </w:rPr>
      </w:pPr>
      <w:r>
        <w:rPr>
          <w:rFonts w:hint="default" w:ascii="Times New Roman" w:hAnsi="Times New Roman" w:eastAsia="方正仿宋_GBK" w:cs="Times New Roman"/>
          <w:b/>
          <w:sz w:val="33"/>
          <w:szCs w:val="33"/>
        </w:rPr>
        <w:t>公务用车运行维护费支出</w:t>
      </w:r>
      <w:r>
        <w:rPr>
          <w:rFonts w:hint="default" w:ascii="Times New Roman" w:hAnsi="Times New Roman" w:eastAsia="方正仿宋_GBK" w:cs="Times New Roman"/>
          <w:color w:val="000000"/>
          <w:kern w:val="0"/>
          <w:sz w:val="33"/>
          <w:szCs w:val="33"/>
        </w:rPr>
        <w:t>28.90万元。主要</w:t>
      </w:r>
      <w:r>
        <w:rPr>
          <w:rFonts w:hint="default" w:ascii="Times New Roman" w:hAnsi="Times New Roman" w:eastAsia="方正仿宋_GBK" w:cs="Times New Roman"/>
          <w:sz w:val="33"/>
          <w:szCs w:val="33"/>
        </w:rPr>
        <w:t>用于参加开展监督检查、调研、办案等所需的</w:t>
      </w:r>
      <w:r>
        <w:rPr>
          <w:rFonts w:hint="default" w:ascii="Times New Roman" w:hAnsi="Times New Roman" w:eastAsia="方正仿宋_GBK" w:cs="Times New Roman"/>
          <w:color w:val="000000"/>
          <w:kern w:val="0"/>
          <w:sz w:val="33"/>
          <w:szCs w:val="33"/>
        </w:rPr>
        <w:t>公务用车燃料费、维修费、过路过桥费、保险费等支出。</w:t>
      </w:r>
    </w:p>
    <w:p>
      <w:pPr>
        <w:numPr>
          <w:ilvl w:val="0"/>
          <w:numId w:val="4"/>
        </w:numPr>
        <w:spacing w:line="600" w:lineRule="exact"/>
        <w:ind w:firstLine="640"/>
        <w:rPr>
          <w:rFonts w:hint="default" w:ascii="Times New Roman" w:hAnsi="Times New Roman" w:eastAsia="方正仿宋_GBK" w:cs="Times New Roman"/>
          <w:sz w:val="33"/>
          <w:szCs w:val="33"/>
        </w:rPr>
      </w:pPr>
      <w:r>
        <w:rPr>
          <w:rFonts w:hint="default" w:ascii="Times New Roman" w:hAnsi="Times New Roman" w:eastAsia="方正仿宋_GBK" w:cs="Times New Roman"/>
          <w:b/>
          <w:sz w:val="33"/>
          <w:szCs w:val="33"/>
        </w:rPr>
        <w:t>公务接待费支出</w:t>
      </w:r>
      <w:r>
        <w:rPr>
          <w:rFonts w:hint="default" w:ascii="Times New Roman" w:hAnsi="Times New Roman" w:eastAsia="方正仿宋_GBK" w:cs="Times New Roman"/>
          <w:kern w:val="0"/>
          <w:sz w:val="33"/>
          <w:szCs w:val="33"/>
        </w:rPr>
        <w:t>2.02万元，完成预算94.39%。公务接待费支出决算比2021年减少0.61万元，减少23.19%。主要原因是</w:t>
      </w:r>
      <w:r>
        <w:rPr>
          <w:rFonts w:hint="default" w:ascii="Times New Roman" w:hAnsi="Times New Roman" w:eastAsia="方正仿宋_GBK" w:cs="Times New Roman"/>
          <w:sz w:val="33"/>
          <w:szCs w:val="33"/>
        </w:rPr>
        <w:t>由于疫情原因，上级部门</w:t>
      </w:r>
      <w:r>
        <w:rPr>
          <w:rFonts w:hint="default" w:ascii="Times New Roman" w:hAnsi="Times New Roman" w:eastAsia="方正仿宋_GBK" w:cs="Times New Roman"/>
          <w:color w:val="000000"/>
          <w:sz w:val="33"/>
          <w:szCs w:val="33"/>
        </w:rPr>
        <w:t>来攀调研工作</w:t>
      </w:r>
      <w:r>
        <w:rPr>
          <w:rFonts w:hint="default" w:ascii="Times New Roman" w:hAnsi="Times New Roman" w:eastAsia="方正仿宋_GBK" w:cs="Times New Roman"/>
          <w:sz w:val="33"/>
          <w:szCs w:val="33"/>
        </w:rPr>
        <w:t>、</w:t>
      </w:r>
      <w:r>
        <w:rPr>
          <w:rFonts w:hint="default" w:ascii="Times New Roman" w:hAnsi="Times New Roman" w:eastAsia="方正仿宋_GBK" w:cs="Times New Roman"/>
          <w:color w:val="000000"/>
          <w:sz w:val="33"/>
          <w:szCs w:val="33"/>
        </w:rPr>
        <w:t>省内对口部门来攀对接工作，执行公务、开展业务活动减少，费用相应</w:t>
      </w:r>
      <w:r>
        <w:rPr>
          <w:rFonts w:hint="default" w:ascii="Times New Roman" w:hAnsi="Times New Roman" w:eastAsia="方正仿宋_GBK" w:cs="Times New Roman"/>
          <w:sz w:val="33"/>
          <w:szCs w:val="33"/>
        </w:rPr>
        <w:t>减少。其中：</w:t>
      </w:r>
    </w:p>
    <w:p>
      <w:pPr>
        <w:spacing w:line="600" w:lineRule="exact"/>
        <w:ind w:firstLine="640"/>
        <w:rPr>
          <w:rFonts w:hint="default" w:ascii="Times New Roman" w:hAnsi="Times New Roman" w:eastAsia="方正仿宋_GBK" w:cs="Times New Roman"/>
          <w:sz w:val="33"/>
          <w:szCs w:val="33"/>
        </w:rPr>
      </w:pPr>
      <w:r>
        <w:rPr>
          <w:rFonts w:hint="default" w:ascii="Times New Roman" w:hAnsi="Times New Roman" w:eastAsia="方正仿宋_GBK" w:cs="Times New Roman"/>
          <w:b/>
          <w:sz w:val="33"/>
          <w:szCs w:val="33"/>
        </w:rPr>
        <w:t>国内公务接待支出</w:t>
      </w:r>
      <w:r>
        <w:rPr>
          <w:rFonts w:hint="default" w:ascii="Times New Roman" w:hAnsi="Times New Roman" w:eastAsia="方正仿宋_GBK" w:cs="Times New Roman"/>
          <w:color w:val="000000"/>
          <w:kern w:val="0"/>
          <w:sz w:val="33"/>
          <w:szCs w:val="33"/>
        </w:rPr>
        <w:t>2.02万元，</w:t>
      </w:r>
      <w:r>
        <w:rPr>
          <w:rFonts w:hint="default" w:ascii="Times New Roman" w:hAnsi="Times New Roman" w:eastAsia="方正仿宋_GBK" w:cs="Times New Roman"/>
          <w:kern w:val="0"/>
          <w:sz w:val="33"/>
          <w:szCs w:val="33"/>
        </w:rPr>
        <w:t>主要用于单位执行公务、开展业务活动开支的交通费、住宿费、用餐费等。国内公务接待15批次，70人次（不包括陪同人员）</w:t>
      </w:r>
      <w:r>
        <w:rPr>
          <w:rFonts w:hint="default" w:ascii="Times New Roman" w:hAnsi="Times New Roman" w:eastAsia="方正仿宋_GBK" w:cs="Times New Roman"/>
          <w:color w:val="000000"/>
          <w:kern w:val="0"/>
          <w:sz w:val="33"/>
          <w:szCs w:val="33"/>
        </w:rPr>
        <w:t>，共计支出2.02万元，具体内容包括：</w:t>
      </w:r>
      <w:r>
        <w:rPr>
          <w:rFonts w:hint="default" w:ascii="Times New Roman" w:hAnsi="Times New Roman" w:eastAsia="方正仿宋_GBK" w:cs="Times New Roman"/>
          <w:sz w:val="33"/>
          <w:szCs w:val="33"/>
        </w:rPr>
        <w:t>来自省、同级市州的检查、办案、交流、学习、调研等发生接待餐费2.02万元。</w:t>
      </w:r>
    </w:p>
    <w:p>
      <w:pPr>
        <w:spacing w:line="600" w:lineRule="exact"/>
        <w:ind w:firstLine="663" w:firstLineChars="200"/>
        <w:rPr>
          <w:rFonts w:hint="default" w:ascii="Times New Roman" w:hAnsi="Times New Roman" w:eastAsia="方正仿宋_GBK" w:cs="Times New Roman"/>
          <w:sz w:val="33"/>
          <w:szCs w:val="33"/>
        </w:rPr>
      </w:pPr>
      <w:r>
        <w:rPr>
          <w:rFonts w:hint="default" w:ascii="Times New Roman" w:hAnsi="Times New Roman" w:eastAsia="方正仿宋_GBK" w:cs="Times New Roman"/>
          <w:b/>
          <w:sz w:val="33"/>
          <w:szCs w:val="33"/>
        </w:rPr>
        <w:t>外事接待支出</w:t>
      </w:r>
      <w:r>
        <w:rPr>
          <w:rFonts w:hint="default" w:ascii="Times New Roman" w:hAnsi="Times New Roman" w:eastAsia="方正仿宋_GBK" w:cs="Times New Roman"/>
          <w:sz w:val="33"/>
          <w:szCs w:val="33"/>
        </w:rPr>
        <w:t>0万元，外事接待0批次，0人次（不包括陪同人员），共计支出0万元。</w:t>
      </w:r>
      <w:bookmarkStart w:id="49" w:name="_Toc15377218"/>
      <w:bookmarkStart w:id="50" w:name="_Toc15396610"/>
    </w:p>
    <w:p>
      <w:pPr>
        <w:spacing w:line="600" w:lineRule="exact"/>
        <w:ind w:firstLine="640"/>
        <w:outlineLvl w:val="1"/>
        <w:rPr>
          <w:rStyle w:val="29"/>
          <w:rFonts w:ascii="Times New Roman" w:hAnsi="Times New Roman" w:eastAsia="黑体" w:cs="Times New Roman"/>
        </w:rPr>
      </w:pPr>
      <w:bookmarkStart w:id="51" w:name="_Toc29891"/>
      <w:r>
        <w:rPr>
          <w:rFonts w:eastAsia="黑体"/>
          <w:sz w:val="32"/>
          <w:szCs w:val="32"/>
        </w:rPr>
        <w:t>八、</w:t>
      </w:r>
      <w:r>
        <w:rPr>
          <w:rStyle w:val="29"/>
          <w:rFonts w:ascii="Times New Roman" w:hAnsi="Times New Roman" w:eastAsia="黑体" w:cs="Times New Roman"/>
          <w:b w:val="0"/>
        </w:rPr>
        <w:t>政府性基金预算支出决算情况说明</w:t>
      </w:r>
      <w:bookmarkEnd w:id="49"/>
      <w:bookmarkEnd w:id="50"/>
      <w:bookmarkEnd w:id="51"/>
    </w:p>
    <w:p>
      <w:pPr>
        <w:spacing w:line="600" w:lineRule="exact"/>
        <w:ind w:firstLine="640"/>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2022年政府性基金预算财政拨款支出0万元。</w:t>
      </w:r>
    </w:p>
    <w:p>
      <w:pPr>
        <w:numPr>
          <w:ilvl w:val="0"/>
          <w:numId w:val="5"/>
        </w:numPr>
        <w:spacing w:line="600" w:lineRule="exact"/>
        <w:ind w:firstLine="640"/>
        <w:outlineLvl w:val="1"/>
        <w:rPr>
          <w:rStyle w:val="29"/>
          <w:rFonts w:ascii="Times New Roman" w:hAnsi="Times New Roman" w:eastAsia="黑体" w:cs="Times New Roman"/>
          <w:b w:val="0"/>
        </w:rPr>
      </w:pPr>
      <w:bookmarkStart w:id="52" w:name="_Toc7266"/>
      <w:bookmarkStart w:id="53" w:name="_Toc15396611"/>
      <w:bookmarkStart w:id="54" w:name="_Toc15377219"/>
      <w:r>
        <w:rPr>
          <w:rStyle w:val="29"/>
          <w:rFonts w:ascii="Times New Roman" w:hAnsi="Times New Roman" w:eastAsia="黑体" w:cs="Times New Roman"/>
          <w:b w:val="0"/>
        </w:rPr>
        <w:t>国有资本经营预算支出决算情况说明</w:t>
      </w:r>
      <w:bookmarkEnd w:id="52"/>
      <w:bookmarkEnd w:id="53"/>
      <w:bookmarkEnd w:id="54"/>
    </w:p>
    <w:p>
      <w:pPr>
        <w:spacing w:line="600" w:lineRule="exact"/>
        <w:ind w:firstLine="640"/>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2022年国有资本经营预算财政拨款支出0万元。</w:t>
      </w:r>
    </w:p>
    <w:p>
      <w:pPr>
        <w:numPr>
          <w:ilvl w:val="0"/>
          <w:numId w:val="5"/>
        </w:numPr>
        <w:spacing w:line="600" w:lineRule="exact"/>
        <w:ind w:firstLine="640"/>
        <w:outlineLvl w:val="1"/>
        <w:rPr>
          <w:rStyle w:val="29"/>
          <w:rFonts w:ascii="Times New Roman" w:hAnsi="Times New Roman" w:eastAsia="黑体" w:cs="Times New Roman"/>
          <w:b w:val="0"/>
        </w:rPr>
      </w:pPr>
      <w:bookmarkStart w:id="55" w:name="_Toc15396612"/>
      <w:bookmarkStart w:id="56" w:name="_Toc15094"/>
      <w:bookmarkStart w:id="57" w:name="_Toc15377221"/>
      <w:r>
        <w:rPr>
          <w:rStyle w:val="29"/>
          <w:rFonts w:ascii="Times New Roman" w:hAnsi="Times New Roman" w:eastAsia="黑体" w:cs="Times New Roman"/>
          <w:b w:val="0"/>
        </w:rPr>
        <w:t>其他重要事项的情况说明</w:t>
      </w:r>
      <w:bookmarkEnd w:id="55"/>
      <w:bookmarkEnd w:id="56"/>
      <w:bookmarkEnd w:id="57"/>
    </w:p>
    <w:p>
      <w:pPr>
        <w:spacing w:line="600" w:lineRule="exact"/>
        <w:ind w:firstLine="663" w:firstLineChars="200"/>
        <w:outlineLvl w:val="2"/>
        <w:rPr>
          <w:rFonts w:hint="default" w:ascii="Times New Roman" w:hAnsi="Times New Roman" w:eastAsia="方正楷体_GBK" w:cs="Times New Roman"/>
          <w:sz w:val="33"/>
          <w:szCs w:val="33"/>
        </w:rPr>
      </w:pPr>
      <w:bookmarkStart w:id="58" w:name="_Toc15377222"/>
      <w:bookmarkStart w:id="59" w:name="_Toc17623"/>
      <w:r>
        <w:rPr>
          <w:rFonts w:hint="default" w:ascii="Times New Roman" w:hAnsi="Times New Roman" w:eastAsia="方正楷体_GBK" w:cs="Times New Roman"/>
          <w:b/>
          <w:sz w:val="33"/>
          <w:szCs w:val="33"/>
        </w:rPr>
        <w:t>（一）机关运行经费支出情况</w:t>
      </w:r>
      <w:bookmarkEnd w:id="58"/>
      <w:bookmarkEnd w:id="59"/>
    </w:p>
    <w:p>
      <w:pPr>
        <w:spacing w:line="576" w:lineRule="exact"/>
        <w:ind w:firstLine="660" w:firstLineChars="200"/>
        <w:rPr>
          <w:rFonts w:eastAsia="方正仿宋_GBK"/>
          <w:color w:val="000000"/>
          <w:kern w:val="0"/>
          <w:sz w:val="33"/>
          <w:szCs w:val="33"/>
        </w:rPr>
      </w:pPr>
      <w:bookmarkStart w:id="60" w:name="_Toc15377223"/>
      <w:r>
        <w:rPr>
          <w:rFonts w:eastAsia="方正仿宋_GBK"/>
          <w:color w:val="000000"/>
          <w:kern w:val="0"/>
          <w:sz w:val="33"/>
          <w:szCs w:val="33"/>
        </w:rPr>
        <w:t>2022年，</w:t>
      </w:r>
      <w:r>
        <w:rPr>
          <w:rFonts w:hint="eastAsia" w:eastAsia="方正仿宋_GBK"/>
          <w:color w:val="000000"/>
          <w:kern w:val="0"/>
          <w:sz w:val="33"/>
          <w:szCs w:val="33"/>
          <w:lang w:val="en-US" w:eastAsia="zh-CN"/>
        </w:rPr>
        <w:t>攀枝花</w:t>
      </w:r>
      <w:r>
        <w:rPr>
          <w:rFonts w:eastAsia="方正仿宋_GBK"/>
          <w:color w:val="000000"/>
          <w:kern w:val="0"/>
          <w:sz w:val="33"/>
          <w:szCs w:val="33"/>
        </w:rPr>
        <w:t>市纪委</w:t>
      </w:r>
      <w:r>
        <w:rPr>
          <w:rFonts w:hint="eastAsia" w:eastAsia="方正仿宋_GBK"/>
          <w:color w:val="000000"/>
          <w:kern w:val="0"/>
          <w:sz w:val="33"/>
          <w:szCs w:val="33"/>
          <w:lang w:val="en-US" w:eastAsia="zh-CN"/>
        </w:rPr>
        <w:t>监委</w:t>
      </w:r>
      <w:r>
        <w:rPr>
          <w:rFonts w:eastAsia="方正仿宋_GBK"/>
          <w:color w:val="000000"/>
          <w:kern w:val="0"/>
          <w:sz w:val="33"/>
          <w:szCs w:val="33"/>
        </w:rPr>
        <w:t>机关运行经费支出218.24万元，比2021年减少52.55万元，减少19.4%，主要原因是</w:t>
      </w:r>
      <w:r>
        <w:rPr>
          <w:rFonts w:hint="default" w:ascii="Times New Roman" w:hAnsi="Times New Roman" w:eastAsia="方正仿宋_GBK" w:cs="Times New Roman"/>
          <w:color w:val="000000"/>
          <w:kern w:val="0"/>
          <w:sz w:val="33"/>
          <w:szCs w:val="33"/>
        </w:rPr>
        <w:t>厉行节约，降低运行成本</w:t>
      </w:r>
      <w:r>
        <w:rPr>
          <w:rFonts w:eastAsia="方正仿宋_GBK"/>
          <w:color w:val="000000"/>
          <w:kern w:val="0"/>
          <w:sz w:val="33"/>
          <w:szCs w:val="33"/>
        </w:rPr>
        <w:t>。</w:t>
      </w:r>
    </w:p>
    <w:p>
      <w:pPr>
        <w:autoSpaceDE w:val="0"/>
        <w:autoSpaceDN w:val="0"/>
        <w:adjustRightInd w:val="0"/>
        <w:spacing w:line="600" w:lineRule="exact"/>
        <w:ind w:firstLine="663" w:firstLineChars="200"/>
        <w:jc w:val="left"/>
        <w:outlineLvl w:val="2"/>
        <w:rPr>
          <w:rFonts w:hint="default" w:ascii="Times New Roman" w:hAnsi="Times New Roman" w:eastAsia="方正楷体_GBK" w:cs="Times New Roman"/>
          <w:b/>
          <w:sz w:val="33"/>
          <w:szCs w:val="33"/>
        </w:rPr>
      </w:pPr>
      <w:bookmarkStart w:id="61" w:name="_Toc17547"/>
      <w:r>
        <w:rPr>
          <w:rFonts w:hint="default" w:ascii="Times New Roman" w:hAnsi="Times New Roman" w:eastAsia="方正楷体_GBK" w:cs="Times New Roman"/>
          <w:b/>
          <w:sz w:val="33"/>
          <w:szCs w:val="33"/>
        </w:rPr>
        <w:t>（二）政府采购支出情况</w:t>
      </w:r>
      <w:bookmarkEnd w:id="60"/>
      <w:bookmarkEnd w:id="61"/>
    </w:p>
    <w:p>
      <w:pPr>
        <w:spacing w:line="576" w:lineRule="exact"/>
        <w:ind w:firstLine="660" w:firstLineChars="200"/>
        <w:rPr>
          <w:rFonts w:eastAsia="方正仿宋_GBK"/>
          <w:color w:val="000000"/>
          <w:kern w:val="0"/>
          <w:sz w:val="33"/>
          <w:szCs w:val="33"/>
        </w:rPr>
      </w:pPr>
      <w:r>
        <w:rPr>
          <w:rFonts w:eastAsia="方正仿宋_GBK"/>
          <w:color w:val="000000"/>
          <w:kern w:val="0"/>
          <w:sz w:val="33"/>
          <w:szCs w:val="33"/>
        </w:rPr>
        <w:t>2022年，</w:t>
      </w:r>
      <w:r>
        <w:rPr>
          <w:rFonts w:hint="eastAsia" w:eastAsia="方正仿宋_GBK"/>
          <w:color w:val="000000"/>
          <w:kern w:val="0"/>
          <w:sz w:val="33"/>
          <w:szCs w:val="33"/>
          <w:lang w:val="en-US" w:eastAsia="zh-CN"/>
        </w:rPr>
        <w:t>攀枝花市纪委监委</w:t>
      </w:r>
      <w:r>
        <w:rPr>
          <w:rFonts w:eastAsia="方正仿宋_GBK"/>
          <w:color w:val="000000"/>
          <w:kern w:val="0"/>
          <w:sz w:val="33"/>
          <w:szCs w:val="33"/>
        </w:rPr>
        <w:t>政府采购支出总额0万元，其中：政府采购货物支出0万元、政府采购工程支出0万元、政府采购服务支出0万元。授予中小企业合同金额0万元，占政府采购支出总额的0%，其中：授予小微企业合同金额0万元，占政府采购支出总额的0%。</w:t>
      </w:r>
    </w:p>
    <w:p>
      <w:pPr>
        <w:autoSpaceDE w:val="0"/>
        <w:autoSpaceDN w:val="0"/>
        <w:adjustRightInd w:val="0"/>
        <w:spacing w:line="600" w:lineRule="exact"/>
        <w:ind w:firstLine="663" w:firstLineChars="200"/>
        <w:jc w:val="left"/>
        <w:outlineLvl w:val="2"/>
        <w:rPr>
          <w:rFonts w:hint="default" w:ascii="Times New Roman" w:hAnsi="Times New Roman" w:eastAsia="方正楷体_GBK" w:cs="Times New Roman"/>
          <w:b/>
          <w:sz w:val="33"/>
          <w:szCs w:val="33"/>
        </w:rPr>
      </w:pPr>
      <w:bookmarkStart w:id="62" w:name="_Toc17114"/>
      <w:bookmarkStart w:id="63" w:name="_Toc15377224"/>
      <w:r>
        <w:rPr>
          <w:rFonts w:hint="default" w:ascii="Times New Roman" w:hAnsi="Times New Roman" w:eastAsia="方正楷体_GBK" w:cs="Times New Roman"/>
          <w:b/>
          <w:sz w:val="33"/>
          <w:szCs w:val="33"/>
        </w:rPr>
        <w:t>（三）国有资产占有使用情况</w:t>
      </w:r>
      <w:bookmarkEnd w:id="62"/>
      <w:bookmarkEnd w:id="63"/>
    </w:p>
    <w:p>
      <w:pPr>
        <w:autoSpaceDE w:val="0"/>
        <w:autoSpaceDN w:val="0"/>
        <w:adjustRightInd w:val="0"/>
        <w:spacing w:line="600" w:lineRule="exact"/>
        <w:ind w:firstLine="660" w:firstLineChars="200"/>
        <w:jc w:val="left"/>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截至2022年12月31日，</w:t>
      </w:r>
      <w:r>
        <w:rPr>
          <w:rFonts w:hint="eastAsia" w:eastAsia="方正仿宋_GBK" w:cs="Times New Roman"/>
          <w:color w:val="000000"/>
          <w:kern w:val="0"/>
          <w:sz w:val="33"/>
          <w:szCs w:val="33"/>
          <w:lang w:val="en-US" w:eastAsia="zh-CN"/>
        </w:rPr>
        <w:t>攀枝花市纪委监委</w:t>
      </w:r>
      <w:r>
        <w:rPr>
          <w:rFonts w:hint="default" w:ascii="Times New Roman" w:hAnsi="Times New Roman" w:eastAsia="方正仿宋_GBK" w:cs="Times New Roman"/>
          <w:color w:val="000000"/>
          <w:kern w:val="0"/>
          <w:sz w:val="33"/>
          <w:szCs w:val="33"/>
        </w:rPr>
        <w:t>共有车辆</w:t>
      </w:r>
      <w:r>
        <w:rPr>
          <w:rFonts w:hint="default" w:ascii="Times New Roman" w:hAnsi="Times New Roman" w:eastAsia="方正仿宋_GBK" w:cs="Times New Roman"/>
          <w:color w:val="000000"/>
          <w:kern w:val="0"/>
          <w:sz w:val="33"/>
          <w:szCs w:val="33"/>
          <w:lang w:val="en-US" w:eastAsia="zh-CN"/>
        </w:rPr>
        <w:t>18</w:t>
      </w:r>
      <w:r>
        <w:rPr>
          <w:rFonts w:hint="default" w:ascii="Times New Roman" w:hAnsi="Times New Roman" w:eastAsia="方正仿宋_GBK" w:cs="Times New Roman"/>
          <w:color w:val="000000"/>
          <w:kern w:val="0"/>
          <w:sz w:val="33"/>
          <w:szCs w:val="33"/>
        </w:rPr>
        <w:t>辆，其中：主要领导干部用车0辆、机要通信用车0辆、应急保障用车0辆、执法执勤车</w:t>
      </w:r>
      <w:r>
        <w:rPr>
          <w:rFonts w:hint="default" w:ascii="Times New Roman" w:hAnsi="Times New Roman" w:eastAsia="方正仿宋_GBK" w:cs="Times New Roman"/>
          <w:color w:val="000000"/>
          <w:kern w:val="0"/>
          <w:sz w:val="33"/>
          <w:szCs w:val="33"/>
          <w:lang w:val="en-US" w:eastAsia="zh-CN"/>
        </w:rPr>
        <w:t>16</w:t>
      </w:r>
      <w:r>
        <w:rPr>
          <w:rFonts w:hint="default" w:ascii="Times New Roman" w:hAnsi="Times New Roman" w:eastAsia="方正仿宋_GBK" w:cs="Times New Roman"/>
          <w:color w:val="000000"/>
          <w:kern w:val="0"/>
          <w:sz w:val="33"/>
          <w:szCs w:val="33"/>
        </w:rPr>
        <w:t>辆、其他用车</w:t>
      </w:r>
      <w:r>
        <w:rPr>
          <w:rFonts w:hint="default" w:ascii="Times New Roman" w:hAnsi="Times New Roman" w:eastAsia="方正仿宋_GBK" w:cs="Times New Roman"/>
          <w:color w:val="000000"/>
          <w:kern w:val="0"/>
          <w:sz w:val="33"/>
          <w:szCs w:val="33"/>
          <w:lang w:val="en-US" w:eastAsia="zh-CN"/>
        </w:rPr>
        <w:t>2</w:t>
      </w:r>
      <w:r>
        <w:rPr>
          <w:rFonts w:hint="default" w:ascii="Times New Roman" w:hAnsi="Times New Roman" w:eastAsia="方正仿宋_GBK" w:cs="Times New Roman"/>
          <w:color w:val="000000"/>
          <w:kern w:val="0"/>
          <w:sz w:val="33"/>
          <w:szCs w:val="33"/>
        </w:rPr>
        <w:t>辆，</w:t>
      </w:r>
      <w:r>
        <w:rPr>
          <w:rFonts w:hint="default" w:ascii="Times New Roman" w:hAnsi="Times New Roman" w:eastAsia="方正仿宋_GBK" w:cs="Times New Roman"/>
          <w:sz w:val="33"/>
          <w:szCs w:val="33"/>
        </w:rPr>
        <w:t>其他用车主要是用于</w:t>
      </w:r>
      <w:r>
        <w:rPr>
          <w:rFonts w:hint="eastAsia" w:eastAsia="方正仿宋_GBK" w:cs="Times New Roman"/>
          <w:sz w:val="33"/>
          <w:szCs w:val="33"/>
          <w:lang w:val="en-US" w:eastAsia="zh-CN"/>
        </w:rPr>
        <w:t>案件办理</w:t>
      </w:r>
      <w:r>
        <w:rPr>
          <w:rFonts w:hint="default" w:ascii="Times New Roman" w:hAnsi="Times New Roman" w:eastAsia="方正仿宋_GBK" w:cs="Times New Roman"/>
          <w:sz w:val="33"/>
          <w:szCs w:val="33"/>
        </w:rPr>
        <w:t>、</w:t>
      </w:r>
      <w:r>
        <w:rPr>
          <w:rFonts w:hint="eastAsia" w:eastAsia="方正仿宋_GBK" w:cs="Times New Roman"/>
          <w:sz w:val="33"/>
          <w:szCs w:val="33"/>
          <w:lang w:val="en-US" w:eastAsia="zh-CN"/>
        </w:rPr>
        <w:t>走访调研</w:t>
      </w:r>
      <w:r>
        <w:rPr>
          <w:rFonts w:hint="default" w:ascii="Times New Roman" w:hAnsi="Times New Roman" w:eastAsia="方正仿宋_GBK" w:cs="Times New Roman"/>
          <w:sz w:val="33"/>
          <w:szCs w:val="33"/>
        </w:rPr>
        <w:t>、</w:t>
      </w:r>
      <w:r>
        <w:rPr>
          <w:rFonts w:hint="eastAsia" w:eastAsia="方正仿宋_GBK" w:cs="Times New Roman"/>
          <w:sz w:val="33"/>
          <w:szCs w:val="33"/>
          <w:lang w:val="en-US" w:eastAsia="zh-CN"/>
        </w:rPr>
        <w:t>监督检查</w:t>
      </w:r>
      <w:r>
        <w:rPr>
          <w:rFonts w:hint="default" w:ascii="Times New Roman" w:hAnsi="Times New Roman" w:eastAsia="方正仿宋_GBK" w:cs="Times New Roman"/>
          <w:sz w:val="33"/>
          <w:szCs w:val="33"/>
        </w:rPr>
        <w:t>工作等。单价100万元以上专用设备0台（套）。</w:t>
      </w:r>
    </w:p>
    <w:p>
      <w:pPr>
        <w:autoSpaceDE w:val="0"/>
        <w:autoSpaceDN w:val="0"/>
        <w:adjustRightInd w:val="0"/>
        <w:spacing w:line="600" w:lineRule="exact"/>
        <w:ind w:firstLine="663" w:firstLineChars="200"/>
        <w:jc w:val="left"/>
        <w:outlineLvl w:val="2"/>
        <w:rPr>
          <w:rFonts w:hint="default" w:ascii="Times New Roman" w:hAnsi="Times New Roman" w:eastAsia="方正楷体_GBK" w:cs="Times New Roman"/>
          <w:b/>
          <w:sz w:val="33"/>
          <w:szCs w:val="33"/>
        </w:rPr>
      </w:pPr>
      <w:bookmarkStart w:id="64" w:name="_Toc3927"/>
      <w:r>
        <w:rPr>
          <w:rFonts w:hint="default" w:ascii="Times New Roman" w:hAnsi="Times New Roman" w:eastAsia="方正楷体_GBK" w:cs="Times New Roman"/>
          <w:b/>
          <w:sz w:val="33"/>
          <w:szCs w:val="33"/>
        </w:rPr>
        <w:t>（四）预算绩效管理情况</w:t>
      </w:r>
      <w:bookmarkEnd w:id="64"/>
    </w:p>
    <w:p>
      <w:pPr>
        <w:spacing w:line="580" w:lineRule="exact"/>
        <w:ind w:firstLine="660" w:firstLineChars="200"/>
        <w:rPr>
          <w:rFonts w:eastAsia="方正仿宋_GBK"/>
          <w:sz w:val="33"/>
          <w:szCs w:val="33"/>
        </w:rPr>
      </w:pPr>
      <w:r>
        <w:rPr>
          <w:rFonts w:hint="default" w:ascii="Times New Roman" w:hAnsi="Times New Roman" w:eastAsia="方正仿宋_GBK" w:cs="Times New Roman"/>
          <w:sz w:val="33"/>
          <w:szCs w:val="33"/>
        </w:rPr>
        <w:t>根据预算绩效管理要求，本单位在2022年度预算编制阶段，组织对监委工作经费、市委巡察工作经费项目等9个项目开展了预算事前绩效评估，对9个项目编制了绩效目标，预算执行过程中，选取3个项目开展绩效监控，年终执行完毕后，对3个项目开展了绩效自评，2022年特定目标类部门预算项目绩效目标自评表见附件（第四部分）。</w:t>
      </w: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6"/>
        </w:numPr>
        <w:spacing w:line="600" w:lineRule="exact"/>
        <w:ind w:firstLine="660" w:firstLineChars="150"/>
        <w:jc w:val="center"/>
        <w:outlineLvl w:val="0"/>
        <w:rPr>
          <w:rStyle w:val="28"/>
          <w:rFonts w:ascii="黑体" w:hAnsi="黑体" w:eastAsia="黑体"/>
          <w:b w:val="0"/>
        </w:rPr>
      </w:pPr>
      <w:bookmarkStart w:id="65" w:name="_Toc21646"/>
      <w:bookmarkStart w:id="66" w:name="_Toc15396613"/>
      <w:bookmarkStart w:id="67" w:name="_Toc15377225"/>
      <w:r>
        <w:rPr>
          <w:rFonts w:hint="eastAsia" w:ascii="黑体" w:hAnsi="黑体" w:eastAsia="黑体"/>
          <w:sz w:val="44"/>
          <w:szCs w:val="44"/>
        </w:rPr>
        <w:t>名</w:t>
      </w:r>
      <w:r>
        <w:rPr>
          <w:rStyle w:val="28"/>
          <w:rFonts w:hint="eastAsia" w:ascii="黑体" w:hAnsi="黑体" w:eastAsia="黑体"/>
          <w:b w:val="0"/>
        </w:rPr>
        <w:t>词解释</w:t>
      </w:r>
      <w:bookmarkEnd w:id="65"/>
      <w:bookmarkEnd w:id="66"/>
      <w:bookmarkEnd w:id="67"/>
    </w:p>
    <w:p>
      <w:pPr>
        <w:spacing w:line="600" w:lineRule="exact"/>
        <w:jc w:val="left"/>
        <w:rPr>
          <w:rFonts w:ascii="宋体"/>
          <w:b/>
          <w:sz w:val="44"/>
          <w:szCs w:val="44"/>
        </w:rPr>
      </w:pPr>
    </w:p>
    <w:p>
      <w:pPr>
        <w:spacing w:line="576" w:lineRule="exact"/>
        <w:ind w:firstLine="640"/>
        <w:rPr>
          <w:rFonts w:eastAsia="方正仿宋_GBK"/>
          <w:sz w:val="33"/>
          <w:szCs w:val="33"/>
        </w:rPr>
      </w:pPr>
      <w:bookmarkStart w:id="68" w:name="_Toc15377226"/>
      <w:r>
        <w:rPr>
          <w:rFonts w:eastAsia="方正仿宋_GBK"/>
          <w:sz w:val="33"/>
          <w:szCs w:val="33"/>
        </w:rPr>
        <w:t>1</w:t>
      </w:r>
      <w:r>
        <w:rPr>
          <w:rFonts w:hint="eastAsia" w:eastAsia="方正仿宋_GBK"/>
          <w:sz w:val="33"/>
          <w:szCs w:val="33"/>
        </w:rPr>
        <w:t>．</w:t>
      </w:r>
      <w:r>
        <w:rPr>
          <w:rFonts w:eastAsia="方正仿宋_GBK"/>
          <w:sz w:val="33"/>
          <w:szCs w:val="33"/>
        </w:rPr>
        <w:t>财政拨款收入：指单位从同级财政部门取得的财政预算资金。</w:t>
      </w:r>
    </w:p>
    <w:p>
      <w:pPr>
        <w:spacing w:line="576" w:lineRule="exact"/>
        <w:ind w:firstLine="640"/>
        <w:rPr>
          <w:rFonts w:eastAsia="方正仿宋_GBK"/>
          <w:sz w:val="33"/>
          <w:szCs w:val="33"/>
        </w:rPr>
      </w:pPr>
      <w:r>
        <w:rPr>
          <w:rFonts w:eastAsia="方正仿宋_GBK"/>
          <w:sz w:val="33"/>
          <w:szCs w:val="33"/>
        </w:rPr>
        <w:t>2</w:t>
      </w:r>
      <w:r>
        <w:rPr>
          <w:rFonts w:hint="eastAsia" w:eastAsia="方正仿宋_GBK"/>
          <w:sz w:val="33"/>
          <w:szCs w:val="33"/>
        </w:rPr>
        <w:t>．</w:t>
      </w:r>
      <w:r>
        <w:rPr>
          <w:rFonts w:eastAsia="方正仿宋_GBK"/>
          <w:sz w:val="33"/>
          <w:szCs w:val="33"/>
        </w:rPr>
        <w:t>经营收入：指事业单位在专业业务活动及其辅助活动之外开展非独立核算经营活动取得的收入</w:t>
      </w:r>
      <w:r>
        <w:rPr>
          <w:rFonts w:hint="eastAsia" w:eastAsia="方正仿宋_GBK"/>
          <w:sz w:val="33"/>
          <w:szCs w:val="33"/>
        </w:rPr>
        <w:t>。</w:t>
      </w:r>
    </w:p>
    <w:p>
      <w:pPr>
        <w:spacing w:line="576" w:lineRule="exact"/>
        <w:ind w:firstLine="640"/>
        <w:rPr>
          <w:rFonts w:eastAsia="方正仿宋_GBK"/>
          <w:sz w:val="33"/>
          <w:szCs w:val="33"/>
        </w:rPr>
      </w:pPr>
      <w:r>
        <w:rPr>
          <w:rFonts w:eastAsia="方正仿宋_GBK"/>
          <w:sz w:val="33"/>
          <w:szCs w:val="33"/>
        </w:rPr>
        <w:t>3</w:t>
      </w:r>
      <w:r>
        <w:rPr>
          <w:rFonts w:hint="eastAsia" w:eastAsia="方正仿宋_GBK"/>
          <w:sz w:val="33"/>
          <w:szCs w:val="33"/>
        </w:rPr>
        <w:t>．</w:t>
      </w:r>
      <w:r>
        <w:rPr>
          <w:rFonts w:eastAsia="方正仿宋_GBK"/>
          <w:sz w:val="33"/>
          <w:szCs w:val="33"/>
        </w:rPr>
        <w:t>其他收入：指单位取得的除上述收入以外的各项收入。主要是单位的存款利息收入等。</w:t>
      </w:r>
    </w:p>
    <w:p>
      <w:pPr>
        <w:spacing w:line="576" w:lineRule="exact"/>
        <w:ind w:firstLine="640"/>
        <w:rPr>
          <w:rFonts w:eastAsia="方正仿宋_GBK"/>
          <w:sz w:val="33"/>
          <w:szCs w:val="33"/>
        </w:rPr>
      </w:pPr>
      <w:r>
        <w:rPr>
          <w:rFonts w:eastAsia="方正仿宋_GBK"/>
          <w:sz w:val="33"/>
          <w:szCs w:val="33"/>
        </w:rPr>
        <w:t>4</w:t>
      </w:r>
      <w:r>
        <w:rPr>
          <w:rFonts w:hint="eastAsia" w:eastAsia="方正仿宋_GBK"/>
          <w:sz w:val="33"/>
          <w:szCs w:val="33"/>
        </w:rPr>
        <w:t>．</w:t>
      </w:r>
      <w:r>
        <w:rPr>
          <w:rFonts w:eastAsia="方正仿宋_GBK"/>
          <w:sz w:val="33"/>
          <w:szCs w:val="33"/>
        </w:rPr>
        <w:t>年初结转和结余：指以前年度尚未完成、结转到本年按有关规定继续使用的资金。</w:t>
      </w:r>
    </w:p>
    <w:p>
      <w:pPr>
        <w:spacing w:line="576" w:lineRule="exact"/>
        <w:ind w:firstLine="640"/>
        <w:rPr>
          <w:rFonts w:eastAsia="方正仿宋_GBK"/>
          <w:sz w:val="33"/>
          <w:szCs w:val="33"/>
        </w:rPr>
      </w:pPr>
      <w:r>
        <w:rPr>
          <w:rFonts w:eastAsia="方正仿宋_GBK"/>
          <w:sz w:val="33"/>
          <w:szCs w:val="33"/>
        </w:rPr>
        <w:t>5．年末结转和结余：指单位按有关规定结转到下年或以后年度继续使用的资金。</w:t>
      </w:r>
    </w:p>
    <w:p>
      <w:pPr>
        <w:spacing w:line="576" w:lineRule="exact"/>
        <w:ind w:firstLine="640"/>
        <w:rPr>
          <w:rFonts w:eastAsia="方正仿宋_GBK"/>
          <w:sz w:val="33"/>
          <w:szCs w:val="33"/>
        </w:rPr>
      </w:pPr>
      <w:r>
        <w:rPr>
          <w:rFonts w:hint="eastAsia" w:eastAsia="方正仿宋_GBK"/>
          <w:sz w:val="33"/>
          <w:szCs w:val="33"/>
        </w:rPr>
        <w:t>6．</w:t>
      </w:r>
      <w:r>
        <w:rPr>
          <w:rFonts w:eastAsia="方正仿宋_GBK"/>
          <w:sz w:val="33"/>
          <w:szCs w:val="33"/>
        </w:rPr>
        <w:t>一般公共服务一般公共服务（类）纪检监察事务（款）行政运行（项）：指用于机机关职工基本工资、津贴补贴等人员经费的发放，以及行政单位的基本支出。</w:t>
      </w:r>
    </w:p>
    <w:p>
      <w:pPr>
        <w:spacing w:line="576" w:lineRule="exact"/>
        <w:ind w:firstLine="640"/>
        <w:rPr>
          <w:rFonts w:eastAsia="方正仿宋_GBK"/>
          <w:sz w:val="33"/>
          <w:szCs w:val="33"/>
        </w:rPr>
      </w:pPr>
      <w:r>
        <w:rPr>
          <w:rFonts w:hint="eastAsia" w:eastAsia="方正仿宋_GBK"/>
          <w:sz w:val="33"/>
          <w:szCs w:val="33"/>
        </w:rPr>
        <w:t>7．</w:t>
      </w:r>
      <w:r>
        <w:rPr>
          <w:rFonts w:eastAsia="方正仿宋_GBK"/>
          <w:sz w:val="33"/>
          <w:szCs w:val="33"/>
        </w:rPr>
        <w:t>一般公共服务（类）纪检监察事务（款）一般行政管理事务（项）：指为保障行政单位（含参照公务员法管理的事业单位）运行用于购买货物和服务的各项资金。包括办公及印刷费、邮电费、差旅费、会议费、日常维修费、专用材料及一般设备购置费、办公用房水电费、办公用房取暖费、办公用房物业管理费、公务用车运行维护费以及其他费用。</w:t>
      </w:r>
    </w:p>
    <w:p>
      <w:pPr>
        <w:spacing w:line="576" w:lineRule="exact"/>
        <w:ind w:firstLine="640"/>
        <w:rPr>
          <w:rFonts w:eastAsia="方正仿宋_GBK"/>
          <w:sz w:val="33"/>
          <w:szCs w:val="33"/>
        </w:rPr>
      </w:pPr>
      <w:r>
        <w:rPr>
          <w:rFonts w:hint="eastAsia" w:eastAsia="方正仿宋_GBK"/>
          <w:sz w:val="33"/>
          <w:szCs w:val="33"/>
        </w:rPr>
        <w:t>8．</w:t>
      </w:r>
      <w:r>
        <w:rPr>
          <w:rFonts w:eastAsia="方正仿宋_GBK"/>
          <w:sz w:val="33"/>
          <w:szCs w:val="33"/>
        </w:rPr>
        <w:t>一般公共服务（类）纪检监察事务（款）事业运行（项）：指事业单位的职工基本工资、津贴补贴等人员经费的发放，以及事业单位的基本支出。</w:t>
      </w:r>
    </w:p>
    <w:p>
      <w:pPr>
        <w:spacing w:line="576" w:lineRule="exact"/>
        <w:ind w:firstLine="640"/>
        <w:rPr>
          <w:rFonts w:eastAsia="方正仿宋_GBK"/>
          <w:sz w:val="33"/>
          <w:szCs w:val="33"/>
        </w:rPr>
      </w:pPr>
      <w:r>
        <w:rPr>
          <w:rFonts w:hint="eastAsia" w:eastAsia="方正仿宋_GBK"/>
          <w:sz w:val="33"/>
          <w:szCs w:val="33"/>
        </w:rPr>
        <w:t>9</w:t>
      </w:r>
      <w:r>
        <w:rPr>
          <w:rFonts w:eastAsia="方正仿宋_GBK"/>
          <w:sz w:val="33"/>
          <w:szCs w:val="33"/>
        </w:rPr>
        <w:t>．一般公共服务（类）纪检监察事务（款）其他纪检监察事务支出（项）：指其他纪检监察事务方面的支出。</w:t>
      </w:r>
    </w:p>
    <w:p>
      <w:pPr>
        <w:spacing w:line="576" w:lineRule="exact"/>
        <w:ind w:firstLine="640"/>
        <w:rPr>
          <w:rFonts w:eastAsia="方正仿宋_GBK"/>
          <w:sz w:val="33"/>
          <w:szCs w:val="33"/>
        </w:rPr>
      </w:pPr>
      <w:r>
        <w:rPr>
          <w:rFonts w:eastAsia="方正仿宋_GBK"/>
          <w:sz w:val="33"/>
          <w:szCs w:val="33"/>
        </w:rPr>
        <w:t>1</w:t>
      </w:r>
      <w:r>
        <w:rPr>
          <w:rFonts w:hint="eastAsia" w:eastAsia="方正仿宋_GBK"/>
          <w:sz w:val="33"/>
          <w:szCs w:val="33"/>
        </w:rPr>
        <w:t>0</w:t>
      </w:r>
      <w:r>
        <w:rPr>
          <w:rFonts w:eastAsia="方正仿宋_GBK"/>
          <w:sz w:val="33"/>
          <w:szCs w:val="33"/>
        </w:rPr>
        <w:t>．一般公共服务（类）组织事务（款）其他组织事务支出（项）：指市级挂职干部人才补助经费。</w:t>
      </w:r>
    </w:p>
    <w:p>
      <w:pPr>
        <w:spacing w:line="576" w:lineRule="exact"/>
        <w:ind w:firstLine="640"/>
        <w:rPr>
          <w:rFonts w:eastAsia="方正仿宋_GBK"/>
          <w:sz w:val="33"/>
          <w:szCs w:val="33"/>
        </w:rPr>
      </w:pPr>
      <w:r>
        <w:rPr>
          <w:rFonts w:eastAsia="方正仿宋_GBK"/>
          <w:sz w:val="33"/>
          <w:szCs w:val="33"/>
        </w:rPr>
        <w:t>1</w:t>
      </w:r>
      <w:r>
        <w:rPr>
          <w:rFonts w:hint="eastAsia" w:eastAsia="方正仿宋_GBK"/>
          <w:sz w:val="33"/>
          <w:szCs w:val="33"/>
        </w:rPr>
        <w:t>1</w:t>
      </w:r>
      <w:r>
        <w:rPr>
          <w:rFonts w:eastAsia="方正仿宋_GBK"/>
          <w:sz w:val="33"/>
          <w:szCs w:val="33"/>
        </w:rPr>
        <w:t>．社会保障和就业（类）行政事业单位离退休（款）未归口管理的行政单位离退休（项）：指离退休人员的离退休费及公用经费。</w:t>
      </w:r>
    </w:p>
    <w:p>
      <w:pPr>
        <w:spacing w:line="576" w:lineRule="exact"/>
        <w:ind w:firstLine="640"/>
        <w:rPr>
          <w:rFonts w:eastAsia="方正仿宋_GBK"/>
          <w:sz w:val="33"/>
          <w:szCs w:val="33"/>
        </w:rPr>
      </w:pPr>
      <w:r>
        <w:rPr>
          <w:rFonts w:eastAsia="方正仿宋_GBK"/>
          <w:sz w:val="33"/>
          <w:szCs w:val="33"/>
        </w:rPr>
        <w:t>1</w:t>
      </w:r>
      <w:r>
        <w:rPr>
          <w:rFonts w:hint="eastAsia" w:eastAsia="方正仿宋_GBK"/>
          <w:sz w:val="33"/>
          <w:szCs w:val="33"/>
        </w:rPr>
        <w:t>2</w:t>
      </w:r>
      <w:r>
        <w:rPr>
          <w:rFonts w:eastAsia="方正仿宋_GBK"/>
          <w:sz w:val="33"/>
          <w:szCs w:val="33"/>
        </w:rPr>
        <w:t>．社会保障和就业（类）行政事业单位离退休（款）机关事业单位基本养老保险缴费支出（项）：指机关事业单位并轨后基本养老保险缴费支出。</w:t>
      </w:r>
    </w:p>
    <w:p>
      <w:pPr>
        <w:spacing w:line="576" w:lineRule="exact"/>
        <w:ind w:firstLine="640"/>
        <w:rPr>
          <w:rFonts w:eastAsia="方正仿宋_GBK"/>
          <w:sz w:val="33"/>
          <w:szCs w:val="33"/>
        </w:rPr>
      </w:pPr>
      <w:r>
        <w:rPr>
          <w:rFonts w:eastAsia="方正仿宋_GBK"/>
          <w:sz w:val="33"/>
          <w:szCs w:val="33"/>
        </w:rPr>
        <w:t>1</w:t>
      </w:r>
      <w:r>
        <w:rPr>
          <w:rFonts w:hint="eastAsia" w:eastAsia="方正仿宋_GBK"/>
          <w:sz w:val="33"/>
          <w:szCs w:val="33"/>
        </w:rPr>
        <w:t>3</w:t>
      </w:r>
      <w:r>
        <w:rPr>
          <w:rFonts w:eastAsia="方正仿宋_GBK"/>
          <w:sz w:val="33"/>
          <w:szCs w:val="33"/>
        </w:rPr>
        <w:t>．社会保障和就业（类）抚恤（款）死亡抚恤（项）：指退休职工死亡抚恤费支出。</w:t>
      </w:r>
    </w:p>
    <w:p>
      <w:pPr>
        <w:spacing w:line="576" w:lineRule="exact"/>
        <w:ind w:firstLine="640"/>
        <w:rPr>
          <w:rFonts w:eastAsia="方正仿宋_GBK"/>
          <w:sz w:val="33"/>
          <w:szCs w:val="33"/>
        </w:rPr>
      </w:pPr>
      <w:r>
        <w:rPr>
          <w:rFonts w:eastAsia="方正仿宋_GBK"/>
          <w:sz w:val="33"/>
          <w:szCs w:val="33"/>
        </w:rPr>
        <w:t>1</w:t>
      </w:r>
      <w:r>
        <w:rPr>
          <w:rFonts w:hint="eastAsia" w:eastAsia="方正仿宋_GBK"/>
          <w:sz w:val="33"/>
          <w:szCs w:val="33"/>
        </w:rPr>
        <w:t>4</w:t>
      </w:r>
      <w:r>
        <w:rPr>
          <w:rFonts w:eastAsia="方正仿宋_GBK"/>
          <w:sz w:val="33"/>
          <w:szCs w:val="33"/>
        </w:rPr>
        <w:t>．社会保障和就业（类）社会福利（款）儿童福利（项）：指关工委关心下一代专项资金。</w:t>
      </w:r>
    </w:p>
    <w:p>
      <w:pPr>
        <w:spacing w:line="576" w:lineRule="exact"/>
        <w:ind w:firstLine="640"/>
        <w:rPr>
          <w:rFonts w:eastAsia="方正仿宋_GBK"/>
          <w:sz w:val="33"/>
          <w:szCs w:val="33"/>
        </w:rPr>
      </w:pPr>
      <w:r>
        <w:rPr>
          <w:rFonts w:eastAsia="方正仿宋_GBK"/>
          <w:sz w:val="33"/>
          <w:szCs w:val="33"/>
        </w:rPr>
        <w:t>1</w:t>
      </w:r>
      <w:r>
        <w:rPr>
          <w:rFonts w:hint="eastAsia" w:eastAsia="方正仿宋_GBK"/>
          <w:sz w:val="33"/>
          <w:szCs w:val="33"/>
        </w:rPr>
        <w:t>5</w:t>
      </w:r>
      <w:r>
        <w:rPr>
          <w:rFonts w:eastAsia="方正仿宋_GBK"/>
          <w:sz w:val="33"/>
          <w:szCs w:val="33"/>
        </w:rPr>
        <w:t>．医疗卫生与计划生育（类）医疗保障支出（款）其他医疗保障支出（项）</w:t>
      </w:r>
      <w:r>
        <w:rPr>
          <w:rFonts w:eastAsia="方正仿宋_GBK"/>
          <w:b/>
          <w:sz w:val="33"/>
          <w:szCs w:val="33"/>
        </w:rPr>
        <w:t>:</w:t>
      </w:r>
      <w:r>
        <w:rPr>
          <w:rFonts w:eastAsia="方正仿宋_GBK"/>
          <w:sz w:val="33"/>
          <w:szCs w:val="33"/>
        </w:rPr>
        <w:t>指单位职工其他医疗保障支出。</w:t>
      </w:r>
    </w:p>
    <w:p>
      <w:pPr>
        <w:spacing w:line="576" w:lineRule="exact"/>
        <w:ind w:firstLine="640"/>
        <w:rPr>
          <w:rFonts w:eastAsia="方正仿宋_GBK"/>
          <w:sz w:val="33"/>
          <w:szCs w:val="33"/>
        </w:rPr>
      </w:pPr>
      <w:r>
        <w:rPr>
          <w:rFonts w:eastAsia="方正仿宋_GBK"/>
          <w:sz w:val="33"/>
          <w:szCs w:val="33"/>
        </w:rPr>
        <w:t>1</w:t>
      </w:r>
      <w:r>
        <w:rPr>
          <w:rFonts w:hint="eastAsia" w:eastAsia="方正仿宋_GBK"/>
          <w:sz w:val="33"/>
          <w:szCs w:val="33"/>
        </w:rPr>
        <w:t>6</w:t>
      </w:r>
      <w:r>
        <w:rPr>
          <w:rFonts w:eastAsia="方正仿宋_GBK"/>
          <w:sz w:val="33"/>
          <w:szCs w:val="33"/>
        </w:rPr>
        <w:t>．住房保障支出（类）住房改革支出（款）住房公积金（项）:指职工住房公积金支出。</w:t>
      </w:r>
    </w:p>
    <w:p>
      <w:pPr>
        <w:spacing w:line="576" w:lineRule="exact"/>
        <w:ind w:firstLine="640"/>
        <w:rPr>
          <w:rFonts w:eastAsia="方正仿宋_GBK"/>
          <w:sz w:val="33"/>
          <w:szCs w:val="33"/>
        </w:rPr>
      </w:pPr>
      <w:r>
        <w:rPr>
          <w:rFonts w:hint="eastAsia" w:eastAsia="方正仿宋_GBK"/>
          <w:sz w:val="33"/>
          <w:szCs w:val="33"/>
        </w:rPr>
        <w:t>17</w:t>
      </w:r>
      <w:r>
        <w:rPr>
          <w:rFonts w:eastAsia="方正仿宋_GBK"/>
          <w:sz w:val="33"/>
          <w:szCs w:val="33"/>
        </w:rPr>
        <w:t>．基本支出：指为保障机构正常运转、完成日常工作任务而发生的人员支出和公用支出。</w:t>
      </w:r>
    </w:p>
    <w:p>
      <w:pPr>
        <w:spacing w:line="576" w:lineRule="exact"/>
        <w:ind w:firstLine="640"/>
        <w:rPr>
          <w:rFonts w:eastAsia="方正仿宋_GBK"/>
          <w:sz w:val="33"/>
          <w:szCs w:val="33"/>
        </w:rPr>
      </w:pPr>
      <w:r>
        <w:rPr>
          <w:rFonts w:hint="eastAsia" w:eastAsia="方正仿宋_GBK"/>
          <w:sz w:val="33"/>
          <w:szCs w:val="33"/>
        </w:rPr>
        <w:t>18</w:t>
      </w:r>
      <w:r>
        <w:rPr>
          <w:rFonts w:eastAsia="方正仿宋_GBK"/>
          <w:sz w:val="33"/>
          <w:szCs w:val="33"/>
        </w:rPr>
        <w:t xml:space="preserve">．项目支出：指在基本支出之外为完成特定行政任务和事业发展目标所发生的支出。 </w:t>
      </w:r>
    </w:p>
    <w:p>
      <w:pPr>
        <w:spacing w:line="576" w:lineRule="exact"/>
        <w:ind w:firstLine="640"/>
        <w:rPr>
          <w:rFonts w:eastAsia="方正仿宋_GBK"/>
          <w:sz w:val="33"/>
          <w:szCs w:val="33"/>
        </w:rPr>
      </w:pPr>
      <w:r>
        <w:rPr>
          <w:rFonts w:hint="eastAsia" w:eastAsia="方正仿宋_GBK"/>
          <w:sz w:val="33"/>
          <w:szCs w:val="33"/>
        </w:rPr>
        <w:t>19</w:t>
      </w:r>
      <w:r>
        <w:rPr>
          <w:rFonts w:eastAsia="方正仿宋_GBK"/>
          <w:sz w:val="33"/>
          <w:szCs w:val="33"/>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ind w:firstLine="660" w:firstLineChars="200"/>
        <w:jc w:val="left"/>
        <w:outlineLvl w:val="0"/>
        <w:rPr>
          <w:rFonts w:eastAsia="方正仿宋_GBK"/>
          <w:sz w:val="33"/>
          <w:szCs w:val="33"/>
        </w:rPr>
      </w:pPr>
      <w:r>
        <w:rPr>
          <w:rFonts w:hint="eastAsia" w:eastAsia="方正仿宋_GBK"/>
          <w:sz w:val="33"/>
          <w:szCs w:val="33"/>
        </w:rPr>
        <w:t>20</w:t>
      </w:r>
      <w:r>
        <w:rPr>
          <w:rFonts w:eastAsia="方正仿宋_GBK"/>
          <w:sz w:val="33"/>
          <w:szCs w:val="33"/>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ind w:firstLine="660" w:firstLineChars="200"/>
        <w:jc w:val="left"/>
        <w:outlineLvl w:val="0"/>
        <w:rPr>
          <w:rFonts w:eastAsia="方正仿宋_GBK"/>
          <w:sz w:val="33"/>
          <w:szCs w:val="33"/>
        </w:rPr>
      </w:pPr>
    </w:p>
    <w:p>
      <w:pPr>
        <w:spacing w:line="600" w:lineRule="exact"/>
        <w:jc w:val="center"/>
        <w:outlineLvl w:val="0"/>
        <w:rPr>
          <w:rStyle w:val="28"/>
          <w:rFonts w:hint="eastAsia" w:ascii="黑体" w:hAnsi="黑体" w:eastAsia="黑体"/>
          <w:b w:val="0"/>
        </w:rPr>
      </w:pPr>
      <w:r>
        <w:rPr>
          <w:rFonts w:ascii="宋体"/>
          <w:b/>
          <w:sz w:val="44"/>
          <w:szCs w:val="44"/>
        </w:rPr>
        <w:br w:type="page"/>
      </w:r>
      <w:bookmarkStart w:id="69" w:name="_Toc15396614"/>
      <w:bookmarkStart w:id="70" w:name="_Toc16913"/>
      <w:r>
        <w:rPr>
          <w:rFonts w:hint="eastAsia" w:ascii="黑体" w:hAnsi="黑体" w:eastAsia="黑体"/>
          <w:sz w:val="44"/>
          <w:szCs w:val="44"/>
        </w:rPr>
        <w:t>第</w:t>
      </w:r>
      <w:r>
        <w:rPr>
          <w:rStyle w:val="28"/>
          <w:rFonts w:hint="eastAsia" w:ascii="黑体" w:hAnsi="黑体" w:eastAsia="黑体"/>
          <w:b w:val="0"/>
        </w:rPr>
        <w:t>四部</w:t>
      </w:r>
      <w:bookmarkStart w:id="99" w:name="_GoBack"/>
      <w:bookmarkEnd w:id="99"/>
      <w:r>
        <w:rPr>
          <w:rStyle w:val="28"/>
          <w:rFonts w:hint="eastAsia" w:ascii="黑体" w:hAnsi="黑体" w:eastAsia="黑体"/>
          <w:b w:val="0"/>
        </w:rPr>
        <w:t>分 附件</w:t>
      </w:r>
      <w:bookmarkEnd w:id="69"/>
      <w:bookmarkEnd w:id="70"/>
    </w:p>
    <w:p>
      <w:pPr>
        <w:pStyle w:val="2"/>
      </w:pPr>
    </w:p>
    <w:p>
      <w:pPr>
        <w:spacing w:line="572" w:lineRule="exact"/>
        <w:ind w:left="1530" w:leftChars="257" w:hanging="990" w:hangingChars="300"/>
        <w:jc w:val="left"/>
        <w:outlineLvl w:val="0"/>
        <w:rPr>
          <w:rFonts w:hint="default" w:ascii="Times New Roman" w:hAnsi="Times New Roman" w:eastAsia="方正仿宋_GBK" w:cs="Times New Roman"/>
          <w:sz w:val="33"/>
          <w:szCs w:val="33"/>
        </w:rPr>
      </w:pPr>
      <w:r>
        <w:rPr>
          <w:rFonts w:hint="default" w:ascii="Times New Roman" w:hAnsi="Times New Roman" w:eastAsia="方正仿宋_GBK" w:cs="Times New Roman"/>
          <w:sz w:val="33"/>
          <w:szCs w:val="33"/>
        </w:rPr>
        <w:t>部门项目支出绩效自评表（2022年度）见附件3</w:t>
      </w:r>
      <w:bookmarkStart w:id="71" w:name="_Toc15396618"/>
    </w:p>
    <w:p>
      <w:pPr>
        <w:pStyle w:val="2"/>
        <w:rPr>
          <w:rFonts w:hint="default" w:ascii="Times New Roman" w:hAnsi="Times New Roman" w:eastAsia="方正仿宋_GBK" w:cs="Times New Roman"/>
          <w:sz w:val="33"/>
          <w:szCs w:val="33"/>
        </w:rPr>
      </w:pPr>
    </w:p>
    <w:p>
      <w:pPr>
        <w:pStyle w:val="3"/>
        <w:rPr>
          <w:rFonts w:hint="default" w:ascii="Times New Roman" w:hAnsi="Times New Roman" w:eastAsia="方正仿宋_GBK" w:cs="Times New Roman"/>
          <w:sz w:val="33"/>
          <w:szCs w:val="33"/>
        </w:rPr>
      </w:pPr>
    </w:p>
    <w:p>
      <w:pPr>
        <w:rPr>
          <w:rFonts w:hint="default" w:ascii="Times New Roman" w:hAnsi="Times New Roman" w:eastAsia="方正仿宋_GBK" w:cs="Times New Roman"/>
          <w:sz w:val="33"/>
          <w:szCs w:val="33"/>
        </w:rPr>
      </w:pPr>
    </w:p>
    <w:p>
      <w:pPr>
        <w:pStyle w:val="2"/>
        <w:rPr>
          <w:rFonts w:hint="default" w:ascii="Times New Roman" w:hAnsi="Times New Roman" w:eastAsia="方正仿宋_GBK" w:cs="Times New Roman"/>
          <w:sz w:val="33"/>
          <w:szCs w:val="33"/>
        </w:rPr>
      </w:pPr>
    </w:p>
    <w:p>
      <w:pPr>
        <w:pStyle w:val="3"/>
        <w:rPr>
          <w:rFonts w:hint="default" w:ascii="Times New Roman" w:hAnsi="Times New Roman" w:eastAsia="方正仿宋_GBK" w:cs="Times New Roman"/>
          <w:sz w:val="33"/>
          <w:szCs w:val="33"/>
        </w:rPr>
      </w:pPr>
    </w:p>
    <w:p>
      <w:pPr>
        <w:rPr>
          <w:rFonts w:hint="default" w:ascii="Times New Roman" w:hAnsi="Times New Roman" w:eastAsia="方正仿宋_GBK" w:cs="Times New Roman"/>
          <w:sz w:val="33"/>
          <w:szCs w:val="33"/>
        </w:rPr>
      </w:pPr>
    </w:p>
    <w:p>
      <w:pPr>
        <w:pStyle w:val="2"/>
        <w:rPr>
          <w:rFonts w:hint="default" w:ascii="Times New Roman" w:hAnsi="Times New Roman" w:eastAsia="方正仿宋_GBK" w:cs="Times New Roman"/>
          <w:sz w:val="33"/>
          <w:szCs w:val="33"/>
        </w:rPr>
      </w:pPr>
    </w:p>
    <w:p>
      <w:pPr>
        <w:pStyle w:val="3"/>
        <w:rPr>
          <w:rFonts w:hint="default" w:ascii="Times New Roman" w:hAnsi="Times New Roman" w:eastAsia="方正仿宋_GBK" w:cs="Times New Roman"/>
          <w:sz w:val="33"/>
          <w:szCs w:val="33"/>
        </w:rPr>
      </w:pPr>
    </w:p>
    <w:p>
      <w:pPr>
        <w:rPr>
          <w:rFonts w:hint="default" w:ascii="Times New Roman" w:hAnsi="Times New Roman" w:eastAsia="方正仿宋_GBK" w:cs="Times New Roman"/>
          <w:sz w:val="33"/>
          <w:szCs w:val="33"/>
        </w:rPr>
      </w:pPr>
    </w:p>
    <w:p>
      <w:pPr>
        <w:pStyle w:val="2"/>
        <w:rPr>
          <w:rFonts w:hint="default" w:ascii="Times New Roman" w:hAnsi="Times New Roman" w:eastAsia="方正仿宋_GBK" w:cs="Times New Roman"/>
          <w:sz w:val="33"/>
          <w:szCs w:val="33"/>
        </w:rPr>
      </w:pPr>
    </w:p>
    <w:p>
      <w:pPr>
        <w:pStyle w:val="3"/>
        <w:rPr>
          <w:rFonts w:hint="default" w:ascii="Times New Roman" w:hAnsi="Times New Roman" w:eastAsia="方正仿宋_GBK" w:cs="Times New Roman"/>
          <w:sz w:val="33"/>
          <w:szCs w:val="33"/>
        </w:rPr>
      </w:pPr>
    </w:p>
    <w:p>
      <w:pPr>
        <w:rPr>
          <w:rFonts w:hint="default" w:ascii="Times New Roman" w:hAnsi="Times New Roman" w:eastAsia="方正仿宋_GBK" w:cs="Times New Roman"/>
          <w:sz w:val="33"/>
          <w:szCs w:val="33"/>
        </w:rPr>
      </w:pPr>
    </w:p>
    <w:p>
      <w:pPr>
        <w:pStyle w:val="2"/>
        <w:rPr>
          <w:rFonts w:hint="default" w:ascii="Times New Roman" w:hAnsi="Times New Roman" w:eastAsia="方正仿宋_GBK" w:cs="Times New Roman"/>
          <w:sz w:val="33"/>
          <w:szCs w:val="33"/>
        </w:rPr>
      </w:pPr>
    </w:p>
    <w:p>
      <w:pPr>
        <w:pStyle w:val="3"/>
        <w:rPr>
          <w:rFonts w:hint="default" w:ascii="Times New Roman" w:hAnsi="Times New Roman" w:eastAsia="方正仿宋_GBK" w:cs="Times New Roman"/>
          <w:sz w:val="33"/>
          <w:szCs w:val="33"/>
        </w:rPr>
      </w:pPr>
    </w:p>
    <w:p>
      <w:pPr>
        <w:rPr>
          <w:rFonts w:hint="default" w:ascii="Times New Roman" w:hAnsi="Times New Roman" w:eastAsia="方正仿宋_GBK" w:cs="Times New Roman"/>
          <w:sz w:val="33"/>
          <w:szCs w:val="33"/>
        </w:rPr>
      </w:pPr>
    </w:p>
    <w:p>
      <w:pPr>
        <w:pStyle w:val="2"/>
        <w:rPr>
          <w:rFonts w:hint="default" w:ascii="Times New Roman" w:hAnsi="Times New Roman" w:eastAsia="方正仿宋_GBK" w:cs="Times New Roman"/>
          <w:sz w:val="33"/>
          <w:szCs w:val="33"/>
        </w:rPr>
      </w:pPr>
    </w:p>
    <w:p>
      <w:pPr>
        <w:pStyle w:val="3"/>
        <w:rPr>
          <w:rFonts w:hint="default" w:ascii="Times New Roman" w:hAnsi="Times New Roman" w:eastAsia="方正仿宋_GBK" w:cs="Times New Roman"/>
          <w:sz w:val="33"/>
          <w:szCs w:val="33"/>
        </w:rPr>
      </w:pPr>
    </w:p>
    <w:p>
      <w:pPr>
        <w:rPr>
          <w:rFonts w:hint="default" w:ascii="Times New Roman" w:hAnsi="Times New Roman" w:eastAsia="方正仿宋_GBK" w:cs="Times New Roman"/>
          <w:sz w:val="33"/>
          <w:szCs w:val="33"/>
        </w:rPr>
      </w:pPr>
    </w:p>
    <w:p>
      <w:pPr>
        <w:pStyle w:val="2"/>
        <w:rPr>
          <w:rFonts w:hint="default" w:ascii="Times New Roman" w:hAnsi="Times New Roman" w:eastAsia="方正仿宋_GBK" w:cs="Times New Roman"/>
          <w:sz w:val="33"/>
          <w:szCs w:val="33"/>
        </w:rPr>
      </w:pPr>
    </w:p>
    <w:p>
      <w:pPr>
        <w:pStyle w:val="3"/>
        <w:rPr>
          <w:rFonts w:hint="default" w:ascii="Times New Roman" w:hAnsi="Times New Roman" w:eastAsia="方正仿宋_GBK" w:cs="Times New Roman"/>
          <w:sz w:val="33"/>
          <w:szCs w:val="33"/>
        </w:rPr>
      </w:pPr>
    </w:p>
    <w:p>
      <w:pPr>
        <w:rPr>
          <w:rFonts w:hint="default" w:ascii="Times New Roman" w:hAnsi="Times New Roman" w:eastAsia="方正仿宋_GBK" w:cs="Times New Roman"/>
          <w:sz w:val="33"/>
          <w:szCs w:val="33"/>
        </w:rPr>
      </w:pPr>
    </w:p>
    <w:p>
      <w:pPr>
        <w:pStyle w:val="2"/>
        <w:rPr>
          <w:rFonts w:hint="default" w:ascii="Times New Roman" w:hAnsi="Times New Roman" w:eastAsia="方正仿宋_GBK" w:cs="Times New Roman"/>
          <w:sz w:val="33"/>
          <w:szCs w:val="33"/>
        </w:rPr>
      </w:pPr>
    </w:p>
    <w:p>
      <w:pPr>
        <w:pStyle w:val="3"/>
        <w:rPr>
          <w:rFonts w:hint="default" w:ascii="Times New Roman" w:hAnsi="Times New Roman" w:eastAsia="方正仿宋_GBK" w:cs="Times New Roman"/>
          <w:sz w:val="33"/>
          <w:szCs w:val="33"/>
        </w:rPr>
      </w:pPr>
    </w:p>
    <w:p>
      <w:pPr>
        <w:rPr>
          <w:rFonts w:hint="default"/>
        </w:rPr>
      </w:pPr>
    </w:p>
    <w:p>
      <w:pPr>
        <w:spacing w:line="600" w:lineRule="exact"/>
        <w:jc w:val="center"/>
        <w:outlineLvl w:val="0"/>
        <w:rPr>
          <w:rFonts w:ascii="仿宋" w:hAnsi="仿宋" w:eastAsia="仿宋"/>
        </w:rPr>
      </w:pPr>
      <w:bookmarkStart w:id="72" w:name="_Toc18012"/>
      <w:r>
        <w:rPr>
          <w:rFonts w:hint="eastAsia" w:ascii="黑体" w:hAnsi="黑体" w:eastAsia="黑体"/>
          <w:sz w:val="44"/>
          <w:szCs w:val="44"/>
        </w:rPr>
        <w:t>第</w:t>
      </w:r>
      <w:r>
        <w:rPr>
          <w:rStyle w:val="28"/>
          <w:rFonts w:hint="eastAsia" w:ascii="黑体" w:hAnsi="黑体" w:eastAsia="黑体"/>
          <w:b w:val="0"/>
        </w:rPr>
        <w:t>五部分 附表</w:t>
      </w:r>
      <w:bookmarkEnd w:id="68"/>
      <w:bookmarkEnd w:id="71"/>
      <w:bookmarkEnd w:id="72"/>
      <w:bookmarkStart w:id="73" w:name="_Toc15396619"/>
    </w:p>
    <w:p>
      <w:pPr>
        <w:pStyle w:val="6"/>
        <w:rPr>
          <w:rFonts w:hint="eastAsia" w:ascii="方正仿宋_GBK" w:hAnsi="方正仿宋_GBK" w:eastAsia="方正仿宋_GBK" w:cs="方正仿宋_GBK"/>
          <w:sz w:val="33"/>
          <w:szCs w:val="33"/>
        </w:rPr>
      </w:pPr>
      <w:bookmarkStart w:id="74" w:name="_Toc27714"/>
      <w:r>
        <w:rPr>
          <w:rFonts w:hint="eastAsia" w:ascii="方正仿宋_GBK" w:hAnsi="方正仿宋_GBK" w:eastAsia="方正仿宋_GBK" w:cs="方正仿宋_GBK"/>
          <w:b w:val="0"/>
          <w:sz w:val="33"/>
          <w:szCs w:val="33"/>
        </w:rPr>
        <w:t>一、收</w:t>
      </w:r>
      <w:r>
        <w:rPr>
          <w:rStyle w:val="29"/>
          <w:rFonts w:hint="eastAsia" w:ascii="方正仿宋_GBK" w:hAnsi="方正仿宋_GBK" w:eastAsia="方正仿宋_GBK" w:cs="方正仿宋_GBK"/>
          <w:b w:val="0"/>
          <w:bCs w:val="0"/>
          <w:sz w:val="33"/>
          <w:szCs w:val="33"/>
        </w:rPr>
        <w:t>入支出决算总表</w:t>
      </w:r>
      <w:bookmarkEnd w:id="73"/>
      <w:bookmarkEnd w:id="74"/>
    </w:p>
    <w:p>
      <w:pPr>
        <w:pStyle w:val="6"/>
        <w:rPr>
          <w:rFonts w:hint="eastAsia" w:ascii="方正仿宋_GBK" w:hAnsi="方正仿宋_GBK" w:eastAsia="方正仿宋_GBK" w:cs="方正仿宋_GBK"/>
          <w:sz w:val="33"/>
          <w:szCs w:val="33"/>
        </w:rPr>
      </w:pPr>
      <w:bookmarkStart w:id="75" w:name="_Toc15396620"/>
      <w:bookmarkStart w:id="76" w:name="_Toc18276"/>
      <w:r>
        <w:rPr>
          <w:rFonts w:hint="eastAsia" w:ascii="方正仿宋_GBK" w:hAnsi="方正仿宋_GBK" w:eastAsia="方正仿宋_GBK" w:cs="方正仿宋_GBK"/>
          <w:b w:val="0"/>
          <w:sz w:val="33"/>
          <w:szCs w:val="33"/>
        </w:rPr>
        <w:t>二、收</w:t>
      </w:r>
      <w:r>
        <w:rPr>
          <w:rStyle w:val="29"/>
          <w:rFonts w:hint="eastAsia" w:ascii="方正仿宋_GBK" w:hAnsi="方正仿宋_GBK" w:eastAsia="方正仿宋_GBK" w:cs="方正仿宋_GBK"/>
          <w:b w:val="0"/>
          <w:bCs w:val="0"/>
          <w:sz w:val="33"/>
          <w:szCs w:val="33"/>
        </w:rPr>
        <w:t>入决算表</w:t>
      </w:r>
      <w:bookmarkEnd w:id="75"/>
      <w:bookmarkEnd w:id="76"/>
    </w:p>
    <w:p>
      <w:pPr>
        <w:pStyle w:val="6"/>
        <w:rPr>
          <w:rFonts w:hint="eastAsia" w:ascii="方正仿宋_GBK" w:hAnsi="方正仿宋_GBK" w:eastAsia="方正仿宋_GBK" w:cs="方正仿宋_GBK"/>
          <w:sz w:val="33"/>
          <w:szCs w:val="33"/>
        </w:rPr>
      </w:pPr>
      <w:bookmarkStart w:id="77" w:name="_Toc15396621"/>
      <w:bookmarkStart w:id="78" w:name="_Toc3379"/>
      <w:r>
        <w:rPr>
          <w:rStyle w:val="29"/>
          <w:rFonts w:hint="eastAsia" w:ascii="方正仿宋_GBK" w:hAnsi="方正仿宋_GBK" w:eastAsia="方正仿宋_GBK" w:cs="方正仿宋_GBK"/>
          <w:b w:val="0"/>
          <w:bCs w:val="0"/>
          <w:sz w:val="33"/>
          <w:szCs w:val="33"/>
        </w:rPr>
        <w:t>三、</w:t>
      </w:r>
      <w:r>
        <w:rPr>
          <w:rFonts w:hint="eastAsia" w:ascii="方正仿宋_GBK" w:hAnsi="方正仿宋_GBK" w:eastAsia="方正仿宋_GBK" w:cs="方正仿宋_GBK"/>
          <w:b w:val="0"/>
          <w:sz w:val="33"/>
          <w:szCs w:val="33"/>
        </w:rPr>
        <w:t>支</w:t>
      </w:r>
      <w:r>
        <w:rPr>
          <w:rStyle w:val="29"/>
          <w:rFonts w:hint="eastAsia" w:ascii="方正仿宋_GBK" w:hAnsi="方正仿宋_GBK" w:eastAsia="方正仿宋_GBK" w:cs="方正仿宋_GBK"/>
          <w:b w:val="0"/>
          <w:bCs w:val="0"/>
          <w:sz w:val="33"/>
          <w:szCs w:val="33"/>
        </w:rPr>
        <w:t>出决算表</w:t>
      </w:r>
      <w:bookmarkEnd w:id="77"/>
      <w:bookmarkEnd w:id="78"/>
    </w:p>
    <w:p>
      <w:pPr>
        <w:pStyle w:val="6"/>
        <w:rPr>
          <w:rFonts w:hint="eastAsia" w:ascii="方正仿宋_GBK" w:hAnsi="方正仿宋_GBK" w:eastAsia="方正仿宋_GBK" w:cs="方正仿宋_GBK"/>
          <w:b w:val="0"/>
          <w:sz w:val="33"/>
          <w:szCs w:val="33"/>
        </w:rPr>
      </w:pPr>
      <w:bookmarkStart w:id="79" w:name="_Toc15396622"/>
      <w:bookmarkStart w:id="80" w:name="_Toc15638"/>
      <w:r>
        <w:rPr>
          <w:rStyle w:val="29"/>
          <w:rFonts w:hint="eastAsia" w:ascii="方正仿宋_GBK" w:hAnsi="方正仿宋_GBK" w:eastAsia="方正仿宋_GBK" w:cs="方正仿宋_GBK"/>
          <w:b w:val="0"/>
          <w:bCs w:val="0"/>
          <w:sz w:val="33"/>
          <w:szCs w:val="33"/>
        </w:rPr>
        <w:t>四、</w:t>
      </w:r>
      <w:r>
        <w:rPr>
          <w:rFonts w:hint="eastAsia" w:ascii="方正仿宋_GBK" w:hAnsi="方正仿宋_GBK" w:eastAsia="方正仿宋_GBK" w:cs="方正仿宋_GBK"/>
          <w:b w:val="0"/>
          <w:sz w:val="33"/>
          <w:szCs w:val="33"/>
        </w:rPr>
        <w:t>财</w:t>
      </w:r>
      <w:r>
        <w:rPr>
          <w:rStyle w:val="29"/>
          <w:rFonts w:hint="eastAsia" w:ascii="方正仿宋_GBK" w:hAnsi="方正仿宋_GBK" w:eastAsia="方正仿宋_GBK" w:cs="方正仿宋_GBK"/>
          <w:b w:val="0"/>
          <w:bCs w:val="0"/>
          <w:sz w:val="33"/>
          <w:szCs w:val="33"/>
        </w:rPr>
        <w:t>政拨款收入支出决算总表</w:t>
      </w:r>
      <w:bookmarkEnd w:id="79"/>
      <w:bookmarkEnd w:id="80"/>
    </w:p>
    <w:p>
      <w:pPr>
        <w:pStyle w:val="6"/>
        <w:rPr>
          <w:rStyle w:val="29"/>
          <w:rFonts w:hint="eastAsia" w:ascii="方正仿宋_GBK" w:hAnsi="方正仿宋_GBK" w:eastAsia="方正仿宋_GBK" w:cs="方正仿宋_GBK"/>
          <w:b w:val="0"/>
          <w:bCs w:val="0"/>
          <w:sz w:val="33"/>
          <w:szCs w:val="33"/>
        </w:rPr>
      </w:pPr>
      <w:bookmarkStart w:id="81" w:name="_Toc15396623"/>
      <w:bookmarkStart w:id="82" w:name="_Toc21672"/>
      <w:r>
        <w:rPr>
          <w:rStyle w:val="29"/>
          <w:rFonts w:hint="eastAsia" w:ascii="方正仿宋_GBK" w:hAnsi="方正仿宋_GBK" w:eastAsia="方正仿宋_GBK" w:cs="方正仿宋_GBK"/>
          <w:b w:val="0"/>
          <w:bCs w:val="0"/>
          <w:sz w:val="33"/>
          <w:szCs w:val="33"/>
        </w:rPr>
        <w:t>五、</w:t>
      </w:r>
      <w:r>
        <w:rPr>
          <w:rFonts w:hint="eastAsia" w:ascii="方正仿宋_GBK" w:hAnsi="方正仿宋_GBK" w:eastAsia="方正仿宋_GBK" w:cs="方正仿宋_GBK"/>
          <w:b w:val="0"/>
          <w:sz w:val="33"/>
          <w:szCs w:val="33"/>
        </w:rPr>
        <w:t>财</w:t>
      </w:r>
      <w:r>
        <w:rPr>
          <w:rStyle w:val="29"/>
          <w:rFonts w:hint="eastAsia" w:ascii="方正仿宋_GBK" w:hAnsi="方正仿宋_GBK" w:eastAsia="方正仿宋_GBK" w:cs="方正仿宋_GBK"/>
          <w:b w:val="0"/>
          <w:bCs w:val="0"/>
          <w:sz w:val="33"/>
          <w:szCs w:val="33"/>
        </w:rPr>
        <w:t>政拨款支出决算明细表</w:t>
      </w:r>
      <w:bookmarkEnd w:id="81"/>
      <w:bookmarkEnd w:id="82"/>
      <w:bookmarkStart w:id="83" w:name="_Toc15396624"/>
    </w:p>
    <w:p>
      <w:pPr>
        <w:pStyle w:val="6"/>
        <w:rPr>
          <w:rFonts w:hint="eastAsia" w:ascii="方正仿宋_GBK" w:hAnsi="方正仿宋_GBK" w:eastAsia="方正仿宋_GBK" w:cs="方正仿宋_GBK"/>
          <w:sz w:val="33"/>
          <w:szCs w:val="33"/>
        </w:rPr>
      </w:pPr>
      <w:bookmarkStart w:id="84" w:name="_Toc22187"/>
      <w:r>
        <w:rPr>
          <w:rStyle w:val="29"/>
          <w:rFonts w:hint="eastAsia" w:ascii="方正仿宋_GBK" w:hAnsi="方正仿宋_GBK" w:eastAsia="方正仿宋_GBK" w:cs="方正仿宋_GBK"/>
          <w:b w:val="0"/>
          <w:bCs w:val="0"/>
          <w:sz w:val="33"/>
          <w:szCs w:val="33"/>
        </w:rPr>
        <w:t>六、</w:t>
      </w:r>
      <w:r>
        <w:rPr>
          <w:rFonts w:hint="eastAsia" w:ascii="方正仿宋_GBK" w:hAnsi="方正仿宋_GBK" w:eastAsia="方正仿宋_GBK" w:cs="方正仿宋_GBK"/>
          <w:b w:val="0"/>
          <w:sz w:val="33"/>
          <w:szCs w:val="33"/>
        </w:rPr>
        <w:t>一</w:t>
      </w:r>
      <w:r>
        <w:rPr>
          <w:rStyle w:val="29"/>
          <w:rFonts w:hint="eastAsia" w:ascii="方正仿宋_GBK" w:hAnsi="方正仿宋_GBK" w:eastAsia="方正仿宋_GBK" w:cs="方正仿宋_GBK"/>
          <w:b w:val="0"/>
          <w:bCs w:val="0"/>
          <w:sz w:val="33"/>
          <w:szCs w:val="33"/>
        </w:rPr>
        <w:t>般公共预算财政拨款支出决算表</w:t>
      </w:r>
      <w:bookmarkEnd w:id="83"/>
      <w:bookmarkEnd w:id="84"/>
    </w:p>
    <w:p>
      <w:pPr>
        <w:pStyle w:val="6"/>
        <w:rPr>
          <w:rFonts w:hint="eastAsia" w:ascii="方正仿宋_GBK" w:hAnsi="方正仿宋_GBK" w:eastAsia="方正仿宋_GBK" w:cs="方正仿宋_GBK"/>
          <w:sz w:val="33"/>
          <w:szCs w:val="33"/>
        </w:rPr>
      </w:pPr>
      <w:bookmarkStart w:id="85" w:name="_Toc31526"/>
      <w:bookmarkStart w:id="86" w:name="_Toc15396625"/>
      <w:r>
        <w:rPr>
          <w:rStyle w:val="29"/>
          <w:rFonts w:hint="eastAsia" w:ascii="方正仿宋_GBK" w:hAnsi="方正仿宋_GBK" w:eastAsia="方正仿宋_GBK" w:cs="方正仿宋_GBK"/>
          <w:b w:val="0"/>
          <w:bCs w:val="0"/>
          <w:sz w:val="33"/>
          <w:szCs w:val="33"/>
        </w:rPr>
        <w:t>七、</w:t>
      </w:r>
      <w:r>
        <w:rPr>
          <w:rFonts w:hint="eastAsia" w:ascii="方正仿宋_GBK" w:hAnsi="方正仿宋_GBK" w:eastAsia="方正仿宋_GBK" w:cs="方正仿宋_GBK"/>
          <w:b w:val="0"/>
          <w:sz w:val="33"/>
          <w:szCs w:val="33"/>
        </w:rPr>
        <w:t>一</w:t>
      </w:r>
      <w:r>
        <w:rPr>
          <w:rStyle w:val="29"/>
          <w:rFonts w:hint="eastAsia" w:ascii="方正仿宋_GBK" w:hAnsi="方正仿宋_GBK" w:eastAsia="方正仿宋_GBK" w:cs="方正仿宋_GBK"/>
          <w:b w:val="0"/>
          <w:bCs w:val="0"/>
          <w:sz w:val="33"/>
          <w:szCs w:val="33"/>
        </w:rPr>
        <w:t>般公共预算财政拨款支出决算明细表</w:t>
      </w:r>
      <w:bookmarkEnd w:id="85"/>
      <w:bookmarkEnd w:id="86"/>
    </w:p>
    <w:p>
      <w:pPr>
        <w:pStyle w:val="6"/>
        <w:rPr>
          <w:rFonts w:hint="eastAsia" w:ascii="方正仿宋_GBK" w:hAnsi="方正仿宋_GBK" w:eastAsia="方正仿宋_GBK" w:cs="方正仿宋_GBK"/>
          <w:sz w:val="33"/>
          <w:szCs w:val="33"/>
        </w:rPr>
      </w:pPr>
      <w:bookmarkStart w:id="87" w:name="_Toc16411"/>
      <w:bookmarkStart w:id="88" w:name="_Toc15396626"/>
      <w:r>
        <w:rPr>
          <w:rStyle w:val="29"/>
          <w:rFonts w:hint="eastAsia" w:ascii="方正仿宋_GBK" w:hAnsi="方正仿宋_GBK" w:eastAsia="方正仿宋_GBK" w:cs="方正仿宋_GBK"/>
          <w:b w:val="0"/>
          <w:bCs w:val="0"/>
          <w:sz w:val="33"/>
          <w:szCs w:val="33"/>
        </w:rPr>
        <w:t>八、</w:t>
      </w:r>
      <w:r>
        <w:rPr>
          <w:rFonts w:hint="eastAsia" w:ascii="方正仿宋_GBK" w:hAnsi="方正仿宋_GBK" w:eastAsia="方正仿宋_GBK" w:cs="方正仿宋_GBK"/>
          <w:b w:val="0"/>
          <w:sz w:val="33"/>
          <w:szCs w:val="33"/>
        </w:rPr>
        <w:t>一</w:t>
      </w:r>
      <w:r>
        <w:rPr>
          <w:rStyle w:val="29"/>
          <w:rFonts w:hint="eastAsia" w:ascii="方正仿宋_GBK" w:hAnsi="方正仿宋_GBK" w:eastAsia="方正仿宋_GBK" w:cs="方正仿宋_GBK"/>
          <w:b w:val="0"/>
          <w:bCs w:val="0"/>
          <w:sz w:val="33"/>
          <w:szCs w:val="33"/>
        </w:rPr>
        <w:t>般公共预算财政拨款基本支出决算表</w:t>
      </w:r>
      <w:bookmarkEnd w:id="87"/>
      <w:bookmarkEnd w:id="88"/>
    </w:p>
    <w:p>
      <w:pPr>
        <w:pStyle w:val="6"/>
        <w:rPr>
          <w:rFonts w:hint="eastAsia" w:ascii="方正仿宋_GBK" w:hAnsi="方正仿宋_GBK" w:eastAsia="方正仿宋_GBK" w:cs="方正仿宋_GBK"/>
          <w:sz w:val="33"/>
          <w:szCs w:val="33"/>
        </w:rPr>
      </w:pPr>
      <w:bookmarkStart w:id="89" w:name="_Toc1087"/>
      <w:bookmarkStart w:id="90" w:name="_Toc15396627"/>
      <w:r>
        <w:rPr>
          <w:rStyle w:val="29"/>
          <w:rFonts w:hint="eastAsia" w:ascii="方正仿宋_GBK" w:hAnsi="方正仿宋_GBK" w:eastAsia="方正仿宋_GBK" w:cs="方正仿宋_GBK"/>
          <w:b w:val="0"/>
          <w:bCs w:val="0"/>
          <w:sz w:val="33"/>
          <w:szCs w:val="33"/>
        </w:rPr>
        <w:t>九、</w:t>
      </w:r>
      <w:r>
        <w:rPr>
          <w:rFonts w:hint="eastAsia" w:ascii="方正仿宋_GBK" w:hAnsi="方正仿宋_GBK" w:eastAsia="方正仿宋_GBK" w:cs="方正仿宋_GBK"/>
          <w:b w:val="0"/>
          <w:sz w:val="33"/>
          <w:szCs w:val="33"/>
        </w:rPr>
        <w:t>一</w:t>
      </w:r>
      <w:r>
        <w:rPr>
          <w:rStyle w:val="29"/>
          <w:rFonts w:hint="eastAsia" w:ascii="方正仿宋_GBK" w:hAnsi="方正仿宋_GBK" w:eastAsia="方正仿宋_GBK" w:cs="方正仿宋_GBK"/>
          <w:b w:val="0"/>
          <w:bCs w:val="0"/>
          <w:sz w:val="33"/>
          <w:szCs w:val="33"/>
        </w:rPr>
        <w:t>般公共预算财政拨款项目支出决算表</w:t>
      </w:r>
      <w:bookmarkEnd w:id="89"/>
      <w:bookmarkEnd w:id="90"/>
    </w:p>
    <w:p>
      <w:pPr>
        <w:pStyle w:val="6"/>
        <w:rPr>
          <w:rFonts w:hint="eastAsia" w:ascii="方正仿宋_GBK" w:hAnsi="方正仿宋_GBK" w:eastAsia="方正仿宋_GBK" w:cs="方正仿宋_GBK"/>
          <w:sz w:val="33"/>
          <w:szCs w:val="33"/>
        </w:rPr>
      </w:pPr>
      <w:bookmarkStart w:id="91" w:name="_Toc15396628"/>
      <w:bookmarkStart w:id="92" w:name="_Toc16444"/>
      <w:r>
        <w:rPr>
          <w:rStyle w:val="29"/>
          <w:rFonts w:hint="eastAsia" w:ascii="方正仿宋_GBK" w:hAnsi="方正仿宋_GBK" w:eastAsia="方正仿宋_GBK" w:cs="方正仿宋_GBK"/>
          <w:b w:val="0"/>
          <w:bCs w:val="0"/>
          <w:sz w:val="33"/>
          <w:szCs w:val="33"/>
        </w:rPr>
        <w:t>十、</w:t>
      </w:r>
      <w:bookmarkEnd w:id="91"/>
      <w:r>
        <w:rPr>
          <w:rFonts w:hint="eastAsia" w:ascii="方正仿宋_GBK" w:hAnsi="方正仿宋_GBK" w:eastAsia="方正仿宋_GBK" w:cs="方正仿宋_GBK"/>
          <w:b w:val="0"/>
          <w:sz w:val="33"/>
          <w:szCs w:val="33"/>
        </w:rPr>
        <w:t>政</w:t>
      </w:r>
      <w:r>
        <w:rPr>
          <w:rStyle w:val="29"/>
          <w:rFonts w:hint="eastAsia" w:ascii="方正仿宋_GBK" w:hAnsi="方正仿宋_GBK" w:eastAsia="方正仿宋_GBK" w:cs="方正仿宋_GBK"/>
          <w:b w:val="0"/>
          <w:bCs w:val="0"/>
          <w:sz w:val="33"/>
          <w:szCs w:val="33"/>
        </w:rPr>
        <w:t>府性基金预算财政拨款收入支出决算表</w:t>
      </w:r>
      <w:bookmarkEnd w:id="92"/>
    </w:p>
    <w:p>
      <w:pPr>
        <w:pStyle w:val="6"/>
        <w:rPr>
          <w:rFonts w:hint="eastAsia" w:ascii="方正仿宋_GBK" w:hAnsi="方正仿宋_GBK" w:eastAsia="方正仿宋_GBK" w:cs="方正仿宋_GBK"/>
          <w:sz w:val="33"/>
          <w:szCs w:val="33"/>
        </w:rPr>
      </w:pPr>
      <w:bookmarkStart w:id="93" w:name="_Toc15396629"/>
      <w:bookmarkStart w:id="94" w:name="_Toc28341"/>
      <w:r>
        <w:rPr>
          <w:rStyle w:val="29"/>
          <w:rFonts w:hint="eastAsia" w:ascii="方正仿宋_GBK" w:hAnsi="方正仿宋_GBK" w:eastAsia="方正仿宋_GBK" w:cs="方正仿宋_GBK"/>
          <w:b w:val="0"/>
          <w:bCs w:val="0"/>
          <w:sz w:val="33"/>
          <w:szCs w:val="33"/>
        </w:rPr>
        <w:t>十一、</w:t>
      </w:r>
      <w:bookmarkEnd w:id="93"/>
      <w:r>
        <w:rPr>
          <w:rFonts w:hint="eastAsia" w:ascii="方正仿宋_GBK" w:hAnsi="方正仿宋_GBK" w:eastAsia="方正仿宋_GBK" w:cs="方正仿宋_GBK"/>
          <w:b w:val="0"/>
          <w:sz w:val="33"/>
          <w:szCs w:val="33"/>
        </w:rPr>
        <w:t>国</w:t>
      </w:r>
      <w:r>
        <w:rPr>
          <w:rStyle w:val="29"/>
          <w:rFonts w:hint="eastAsia" w:ascii="方正仿宋_GBK" w:hAnsi="方正仿宋_GBK" w:eastAsia="方正仿宋_GBK" w:cs="方正仿宋_GBK"/>
          <w:b w:val="0"/>
          <w:bCs w:val="0"/>
          <w:sz w:val="33"/>
          <w:szCs w:val="33"/>
        </w:rPr>
        <w:t>有资本经营预算财政拨款收入支出决算表</w:t>
      </w:r>
      <w:bookmarkEnd w:id="94"/>
    </w:p>
    <w:p>
      <w:pPr>
        <w:pStyle w:val="6"/>
        <w:rPr>
          <w:rFonts w:hint="eastAsia" w:ascii="方正仿宋_GBK" w:hAnsi="方正仿宋_GBK" w:eastAsia="方正仿宋_GBK" w:cs="方正仿宋_GBK"/>
          <w:sz w:val="33"/>
          <w:szCs w:val="33"/>
        </w:rPr>
      </w:pPr>
      <w:bookmarkStart w:id="95" w:name="_Toc15396630"/>
      <w:bookmarkStart w:id="96" w:name="_Toc2286"/>
      <w:r>
        <w:rPr>
          <w:rStyle w:val="29"/>
          <w:rFonts w:hint="eastAsia" w:ascii="方正仿宋_GBK" w:hAnsi="方正仿宋_GBK" w:eastAsia="方正仿宋_GBK" w:cs="方正仿宋_GBK"/>
          <w:b w:val="0"/>
          <w:bCs w:val="0"/>
          <w:sz w:val="33"/>
          <w:szCs w:val="33"/>
        </w:rPr>
        <w:t>十二、</w:t>
      </w:r>
      <w:bookmarkEnd w:id="95"/>
      <w:r>
        <w:rPr>
          <w:rStyle w:val="29"/>
          <w:rFonts w:hint="eastAsia" w:ascii="方正仿宋_GBK" w:hAnsi="方正仿宋_GBK" w:eastAsia="方正仿宋_GBK" w:cs="方正仿宋_GBK"/>
          <w:b w:val="0"/>
          <w:bCs w:val="0"/>
          <w:sz w:val="33"/>
          <w:szCs w:val="33"/>
        </w:rPr>
        <w:t>国有资本经营预算财政拨款支出决算表</w:t>
      </w:r>
      <w:bookmarkEnd w:id="96"/>
    </w:p>
    <w:p>
      <w:pPr>
        <w:pStyle w:val="6"/>
        <w:rPr>
          <w:rFonts w:hint="eastAsia" w:ascii="方正仿宋_GBK" w:hAnsi="方正仿宋_GBK" w:eastAsia="方正仿宋_GBK" w:cs="方正仿宋_GBK"/>
          <w:sz w:val="33"/>
          <w:szCs w:val="33"/>
        </w:rPr>
      </w:pPr>
      <w:bookmarkStart w:id="97" w:name="_Toc15396631"/>
      <w:bookmarkStart w:id="98" w:name="_Toc8837"/>
      <w:r>
        <w:rPr>
          <w:rStyle w:val="29"/>
          <w:rFonts w:hint="eastAsia" w:ascii="方正仿宋_GBK" w:hAnsi="方正仿宋_GBK" w:eastAsia="方正仿宋_GBK" w:cs="方正仿宋_GBK"/>
          <w:b w:val="0"/>
          <w:bCs w:val="0"/>
          <w:sz w:val="33"/>
          <w:szCs w:val="33"/>
        </w:rPr>
        <w:t>十三、</w:t>
      </w:r>
      <w:bookmarkEnd w:id="97"/>
      <w:r>
        <w:rPr>
          <w:rStyle w:val="29"/>
          <w:rFonts w:hint="eastAsia" w:ascii="方正仿宋_GBK" w:hAnsi="方正仿宋_GBK" w:eastAsia="方正仿宋_GBK" w:cs="方正仿宋_GBK"/>
          <w:b w:val="0"/>
          <w:bCs w:val="0"/>
          <w:sz w:val="33"/>
          <w:szCs w:val="33"/>
        </w:rPr>
        <w:t>财政拨款“三公”经费支出决算表</w:t>
      </w:r>
      <w:bookmarkEnd w:id="98"/>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68E52AE-7F4A-46B0-8839-83D37FC7E24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8C4C2D9B-02D4-454C-842D-33D5ECF146E0}"/>
  </w:font>
  <w:font w:name="仿宋">
    <w:panose1 w:val="02010609060101010101"/>
    <w:charset w:val="86"/>
    <w:family w:val="modern"/>
    <w:pitch w:val="default"/>
    <w:sig w:usb0="800002BF" w:usb1="38CF7CFA" w:usb2="00000016" w:usb3="00000000" w:csb0="00040001" w:csb1="00000000"/>
    <w:embedRegular r:id="rId3" w:fontKey="{36FEBBCC-4C37-4783-9DE6-2A63235E9D86}"/>
  </w:font>
  <w:font w:name="方正小标宋简体">
    <w:panose1 w:val="02000000000000000000"/>
    <w:charset w:val="86"/>
    <w:family w:val="script"/>
    <w:pitch w:val="default"/>
    <w:sig w:usb0="00000001" w:usb1="08000000" w:usb2="00000000" w:usb3="00000000" w:csb0="00040000" w:csb1="00000000"/>
    <w:embedRegular r:id="rId4" w:fontKey="{3D0E9A85-B226-4461-8939-7F8FC2EF6DFB}"/>
  </w:font>
  <w:font w:name="方正仿宋_GBK">
    <w:panose1 w:val="02000000000000000000"/>
    <w:charset w:val="86"/>
    <w:family w:val="script"/>
    <w:pitch w:val="default"/>
    <w:sig w:usb0="A00002BF" w:usb1="38CF7CFA" w:usb2="00082016" w:usb3="00000000" w:csb0="00040001" w:csb1="00000000"/>
    <w:embedRegular r:id="rId5" w:fontKey="{315DE0F2-5C86-4760-BDC1-52D80A3B741B}"/>
  </w:font>
  <w:font w:name="方正楷体_GBK">
    <w:panose1 w:val="02000000000000000000"/>
    <w:charset w:val="86"/>
    <w:family w:val="auto"/>
    <w:pitch w:val="default"/>
    <w:sig w:usb0="800002BF" w:usb1="38CF7CFA" w:usb2="00000016" w:usb3="00000000" w:csb0="00040000" w:csb1="00000000"/>
    <w:embedRegular r:id="rId6" w:fontKey="{62242D2A-1AAB-4DE9-A30C-AE4ADD4C51CA}"/>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12"/>
          <w:jc w:val="center"/>
        </w:pPr>
        <w:r>
          <w:fldChar w:fldCharType="begin"/>
        </w:r>
        <w:r>
          <w:instrText xml:space="preserve">PAGE   \* MERGEFORMAT</w:instrText>
        </w:r>
        <w:r>
          <w:fldChar w:fldCharType="separate"/>
        </w:r>
        <w:r>
          <w:rPr>
            <w:lang w:val="zh-CN"/>
          </w:rPr>
          <w:t>11</w:t>
        </w:r>
        <w:r>
          <w:fldChar w:fldCharType="end"/>
        </w:r>
      </w:p>
    </w:sdtContent>
  </w:sdt>
  <w:p>
    <w:pPr>
      <w:pStyle w:val="1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72E8E0F"/>
    <w:multiLevelType w:val="singleLevel"/>
    <w:tmpl w:val="372E8E0F"/>
    <w:lvl w:ilvl="0" w:tentative="0">
      <w:start w:val="1"/>
      <w:numFmt w:val="chineseCounting"/>
      <w:suff w:val="space"/>
      <w:lvlText w:val="第%1部分"/>
      <w:lvlJc w:val="left"/>
      <w:rPr>
        <w:rFonts w:hint="eastAsia"/>
      </w:rPr>
    </w:lvl>
  </w:abstractNum>
  <w:abstractNum w:abstractNumId="4">
    <w:nsid w:val="3818A09A"/>
    <w:multiLevelType w:val="singleLevel"/>
    <w:tmpl w:val="3818A09A"/>
    <w:lvl w:ilvl="0" w:tentative="0">
      <w:start w:val="1"/>
      <w:numFmt w:val="chineseCounting"/>
      <w:suff w:val="nothing"/>
      <w:lvlText w:val="%1、"/>
      <w:lvlJc w:val="left"/>
      <w:rPr>
        <w:rFonts w:hint="eastAsia"/>
      </w:rPr>
    </w:lvl>
  </w:abstractNum>
  <w:abstractNum w:abstractNumId="5">
    <w:nsid w:val="78DB1947"/>
    <w:multiLevelType w:val="singleLevel"/>
    <w:tmpl w:val="78DB1947"/>
    <w:lvl w:ilvl="0" w:tentative="0">
      <w:start w:val="3"/>
      <w:numFmt w:val="decimal"/>
      <w:lvlText w:val="%1."/>
      <w:lvlJc w:val="left"/>
      <w:pPr>
        <w:tabs>
          <w:tab w:val="left" w:pos="312"/>
        </w:tabs>
      </w:pPr>
    </w:lvl>
  </w:abstractNum>
  <w:num w:numId="1">
    <w:abstractNumId w:val="3"/>
  </w:num>
  <w:num w:numId="2">
    <w:abstractNumId w:val="4"/>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GMzNDU0NDg2N2E1NjdiOTFjZTdmNTg3ZDc2YzE2NTE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0F3D30"/>
    <w:rsid w:val="00114E9B"/>
    <w:rsid w:val="00123991"/>
    <w:rsid w:val="00142216"/>
    <w:rsid w:val="00144D6A"/>
    <w:rsid w:val="0014729F"/>
    <w:rsid w:val="00157BAB"/>
    <w:rsid w:val="001654D1"/>
    <w:rsid w:val="00166E95"/>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950"/>
    <w:rsid w:val="00260C38"/>
    <w:rsid w:val="00260C9E"/>
    <w:rsid w:val="002616C0"/>
    <w:rsid w:val="00265372"/>
    <w:rsid w:val="002662AA"/>
    <w:rsid w:val="00280496"/>
    <w:rsid w:val="00294DC9"/>
    <w:rsid w:val="00295495"/>
    <w:rsid w:val="002A31DE"/>
    <w:rsid w:val="002B2613"/>
    <w:rsid w:val="002D6D05"/>
    <w:rsid w:val="002F1818"/>
    <w:rsid w:val="002F36E2"/>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64B39"/>
    <w:rsid w:val="00471401"/>
    <w:rsid w:val="00473F31"/>
    <w:rsid w:val="0048263A"/>
    <w:rsid w:val="00485945"/>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A049A"/>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460DF"/>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641D5"/>
    <w:rsid w:val="0097099F"/>
    <w:rsid w:val="00971997"/>
    <w:rsid w:val="00971FFC"/>
    <w:rsid w:val="00980214"/>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35860"/>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AF76AB"/>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D1C25"/>
    <w:rsid w:val="00BF5BD6"/>
    <w:rsid w:val="00C03E31"/>
    <w:rsid w:val="00C33E72"/>
    <w:rsid w:val="00C354B2"/>
    <w:rsid w:val="00C35554"/>
    <w:rsid w:val="00C42709"/>
    <w:rsid w:val="00C533CC"/>
    <w:rsid w:val="00C5751C"/>
    <w:rsid w:val="00C61BFC"/>
    <w:rsid w:val="00C62B85"/>
    <w:rsid w:val="00C65438"/>
    <w:rsid w:val="00C7524A"/>
    <w:rsid w:val="00C87FD8"/>
    <w:rsid w:val="00C91381"/>
    <w:rsid w:val="00C91CBB"/>
    <w:rsid w:val="00CB4E70"/>
    <w:rsid w:val="00CC09B6"/>
    <w:rsid w:val="00CC666F"/>
    <w:rsid w:val="00CC7FC6"/>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E22DF"/>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53A62B5"/>
    <w:rsid w:val="0A2032A3"/>
    <w:rsid w:val="0A6C6535"/>
    <w:rsid w:val="0A712FCB"/>
    <w:rsid w:val="0AB75815"/>
    <w:rsid w:val="0B8A37D8"/>
    <w:rsid w:val="0F1F3AF7"/>
    <w:rsid w:val="10C055FF"/>
    <w:rsid w:val="118107EC"/>
    <w:rsid w:val="11DD6519"/>
    <w:rsid w:val="14D40371"/>
    <w:rsid w:val="168316B4"/>
    <w:rsid w:val="16BB723D"/>
    <w:rsid w:val="18015F3F"/>
    <w:rsid w:val="18C10C01"/>
    <w:rsid w:val="1BE8440E"/>
    <w:rsid w:val="1D155CEE"/>
    <w:rsid w:val="20F57F95"/>
    <w:rsid w:val="240371BF"/>
    <w:rsid w:val="25711CC6"/>
    <w:rsid w:val="25C741E6"/>
    <w:rsid w:val="27842671"/>
    <w:rsid w:val="29FD04D3"/>
    <w:rsid w:val="2ABE7A3E"/>
    <w:rsid w:val="2C19219B"/>
    <w:rsid w:val="2C884BAF"/>
    <w:rsid w:val="2CA234A8"/>
    <w:rsid w:val="2EFA178C"/>
    <w:rsid w:val="30B46D73"/>
    <w:rsid w:val="319F7F4E"/>
    <w:rsid w:val="37343F8A"/>
    <w:rsid w:val="383D272C"/>
    <w:rsid w:val="39AE70AB"/>
    <w:rsid w:val="3C0C0783"/>
    <w:rsid w:val="3F9F3A96"/>
    <w:rsid w:val="47833F1C"/>
    <w:rsid w:val="48BF60AB"/>
    <w:rsid w:val="493C27E9"/>
    <w:rsid w:val="496F39ED"/>
    <w:rsid w:val="49FF41D3"/>
    <w:rsid w:val="4A445F6B"/>
    <w:rsid w:val="4BE068DB"/>
    <w:rsid w:val="4BF6002B"/>
    <w:rsid w:val="4E8E65C1"/>
    <w:rsid w:val="4ECE2238"/>
    <w:rsid w:val="4F621E35"/>
    <w:rsid w:val="51DB4B86"/>
    <w:rsid w:val="549F41CF"/>
    <w:rsid w:val="55333C3E"/>
    <w:rsid w:val="56713DAB"/>
    <w:rsid w:val="5BC17EFB"/>
    <w:rsid w:val="5E6C374D"/>
    <w:rsid w:val="639B75CA"/>
    <w:rsid w:val="64CA39A1"/>
    <w:rsid w:val="69630ADE"/>
    <w:rsid w:val="6C4A05C8"/>
    <w:rsid w:val="6D3B1A89"/>
    <w:rsid w:val="71BF4EC2"/>
    <w:rsid w:val="72734D90"/>
    <w:rsid w:val="7412278C"/>
    <w:rsid w:val="77577896"/>
    <w:rsid w:val="79E7B28D"/>
    <w:rsid w:val="7D381DC8"/>
    <w:rsid w:val="7D493D07"/>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6">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qFormat/>
    <w:uiPriority w:val="0"/>
    <w:pPr>
      <w:snapToGrid w:val="0"/>
      <w:jc w:val="left"/>
    </w:pPr>
    <w:rPr>
      <w:sz w:val="18"/>
      <w:szCs w:val="18"/>
    </w:rPr>
  </w:style>
  <w:style w:type="paragraph" w:styleId="3">
    <w:name w:val="Body Text First Indent 2"/>
    <w:basedOn w:val="4"/>
    <w:next w:val="1"/>
    <w:qFormat/>
    <w:uiPriority w:val="0"/>
    <w:pPr>
      <w:ind w:firstLine="420" w:firstLineChars="200"/>
    </w:pPr>
  </w:style>
  <w:style w:type="paragraph" w:styleId="4">
    <w:name w:val="Body Text Indent"/>
    <w:basedOn w:val="1"/>
    <w:next w:val="3"/>
    <w:qFormat/>
    <w:uiPriority w:val="0"/>
    <w:pPr>
      <w:ind w:left="420" w:leftChars="200"/>
    </w:pPr>
  </w:style>
  <w:style w:type="paragraph" w:styleId="8">
    <w:name w:val="Body Text"/>
    <w:basedOn w:val="1"/>
    <w:link w:val="25"/>
    <w:qFormat/>
    <w:uiPriority w:val="99"/>
    <w:pPr>
      <w:spacing w:beforeLines="30"/>
    </w:pPr>
    <w:rPr>
      <w:rFonts w:ascii="仿宋_GB2312" w:eastAsia="仿宋_GB2312"/>
      <w:kern w:val="0"/>
      <w:sz w:val="30"/>
    </w:rPr>
  </w:style>
  <w:style w:type="paragraph" w:styleId="9">
    <w:name w:val="toc 3"/>
    <w:basedOn w:val="1"/>
    <w:next w:val="1"/>
    <w:unhideWhenUsed/>
    <w:qFormat/>
    <w:uiPriority w:val="39"/>
    <w:pPr>
      <w:tabs>
        <w:tab w:val="right" w:leader="dot" w:pos="8296"/>
      </w:tabs>
      <w:ind w:left="840" w:leftChars="400"/>
    </w:pPr>
  </w:style>
  <w:style w:type="paragraph" w:styleId="10">
    <w:name w:val="Plain Text"/>
    <w:basedOn w:val="1"/>
    <w:qFormat/>
    <w:uiPriority w:val="0"/>
    <w:rPr>
      <w:rFonts w:ascii="宋体" w:hAnsi="Courier New"/>
    </w:rPr>
  </w:style>
  <w:style w:type="paragraph" w:styleId="11">
    <w:name w:val="Balloon Text"/>
    <w:basedOn w:val="1"/>
    <w:link w:val="31"/>
    <w:semiHidden/>
    <w:unhideWhenUsed/>
    <w:qFormat/>
    <w:uiPriority w:val="99"/>
    <w:rPr>
      <w:sz w:val="18"/>
      <w:szCs w:val="18"/>
    </w:rPr>
  </w:style>
  <w:style w:type="paragraph" w:styleId="12">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3">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4">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5">
    <w:name w:val="toc 2"/>
    <w:basedOn w:val="1"/>
    <w:next w:val="1"/>
    <w:unhideWhenUsed/>
    <w:qFormat/>
    <w:uiPriority w:val="39"/>
    <w:pPr>
      <w:tabs>
        <w:tab w:val="right" w:leader="dot" w:pos="8296"/>
      </w:tabs>
      <w:ind w:left="420" w:leftChars="200"/>
    </w:pPr>
  </w:style>
  <w:style w:type="character" w:styleId="18">
    <w:name w:val="Strong"/>
    <w:basedOn w:val="17"/>
    <w:qFormat/>
    <w:uiPriority w:val="99"/>
    <w:rPr>
      <w:b/>
    </w:rPr>
  </w:style>
  <w:style w:type="character" w:styleId="19">
    <w:name w:val="Hyperlink"/>
    <w:basedOn w:val="17"/>
    <w:unhideWhenUsed/>
    <w:qFormat/>
    <w:uiPriority w:val="99"/>
    <w:rPr>
      <w:color w:val="0000FF" w:themeColor="hyperlink"/>
      <w:u w:val="single"/>
    </w:rPr>
  </w:style>
  <w:style w:type="character" w:customStyle="1" w:styleId="20">
    <w:name w:val="Header Char"/>
    <w:basedOn w:val="17"/>
    <w:semiHidden/>
    <w:qFormat/>
    <w:uiPriority w:val="99"/>
    <w:rPr>
      <w:rFonts w:ascii="Times New Roman" w:hAnsi="Times New Roman"/>
      <w:sz w:val="18"/>
      <w:szCs w:val="18"/>
    </w:rPr>
  </w:style>
  <w:style w:type="character" w:customStyle="1" w:styleId="21">
    <w:name w:val="页眉 Char"/>
    <w:link w:val="13"/>
    <w:semiHidden/>
    <w:qFormat/>
    <w:locked/>
    <w:uiPriority w:val="99"/>
    <w:rPr>
      <w:sz w:val="18"/>
    </w:rPr>
  </w:style>
  <w:style w:type="character" w:customStyle="1" w:styleId="22">
    <w:name w:val="Footer Char"/>
    <w:basedOn w:val="17"/>
    <w:semiHidden/>
    <w:qFormat/>
    <w:uiPriority w:val="99"/>
    <w:rPr>
      <w:rFonts w:ascii="Times New Roman" w:hAnsi="Times New Roman"/>
      <w:sz w:val="18"/>
      <w:szCs w:val="18"/>
    </w:rPr>
  </w:style>
  <w:style w:type="character" w:customStyle="1" w:styleId="23">
    <w:name w:val="页脚 Char"/>
    <w:link w:val="12"/>
    <w:qFormat/>
    <w:locked/>
    <w:uiPriority w:val="99"/>
    <w:rPr>
      <w:sz w:val="18"/>
    </w:rPr>
  </w:style>
  <w:style w:type="character" w:customStyle="1" w:styleId="24">
    <w:name w:val="Body Text Char"/>
    <w:basedOn w:val="17"/>
    <w:semiHidden/>
    <w:qFormat/>
    <w:uiPriority w:val="99"/>
    <w:rPr>
      <w:rFonts w:ascii="Times New Roman" w:hAnsi="Times New Roman"/>
      <w:szCs w:val="24"/>
    </w:rPr>
  </w:style>
  <w:style w:type="character" w:customStyle="1" w:styleId="25">
    <w:name w:val="正文文本 Char"/>
    <w:link w:val="8"/>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7"/>
    <w:link w:val="5"/>
    <w:qFormat/>
    <w:uiPriority w:val="9"/>
    <w:rPr>
      <w:rFonts w:ascii="Times New Roman" w:hAnsi="Times New Roman"/>
      <w:b/>
      <w:bCs/>
      <w:kern w:val="44"/>
      <w:sz w:val="44"/>
      <w:szCs w:val="44"/>
    </w:rPr>
  </w:style>
  <w:style w:type="character" w:customStyle="1" w:styleId="29">
    <w:name w:val="标题 2 Char"/>
    <w:basedOn w:val="17"/>
    <w:link w:val="6"/>
    <w:qFormat/>
    <w:uiPriority w:val="9"/>
    <w:rPr>
      <w:rFonts w:asciiTheme="majorHAnsi" w:hAnsiTheme="majorHAnsi" w:eastAsiaTheme="majorEastAsia" w:cstheme="majorBidi"/>
      <w:b/>
      <w:bCs/>
      <w:kern w:val="2"/>
      <w:sz w:val="32"/>
      <w:szCs w:val="32"/>
    </w:rPr>
  </w:style>
  <w:style w:type="paragraph" w:customStyle="1" w:styleId="30">
    <w:name w:val="TOC 标题1"/>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31">
    <w:name w:val="批注框文本 Char"/>
    <w:basedOn w:val="17"/>
    <w:link w:val="11"/>
    <w:semiHidden/>
    <w:qFormat/>
    <w:uiPriority w:val="99"/>
    <w:rPr>
      <w:rFonts w:ascii="Times New Roman" w:hAnsi="Times New Roman"/>
      <w:kern w:val="2"/>
      <w:sz w:val="18"/>
      <w:szCs w:val="18"/>
    </w:rPr>
  </w:style>
  <w:style w:type="character" w:customStyle="1" w:styleId="32">
    <w:name w:val="标题 3 Char"/>
    <w:basedOn w:val="17"/>
    <w:link w:val="7"/>
    <w:qFormat/>
    <w:uiPriority w:val="9"/>
    <w:rPr>
      <w:rFonts w:ascii="Times New Roman" w:hAnsi="Times New Roman"/>
      <w:b/>
      <w:bCs/>
      <w:kern w:val="2"/>
      <w:sz w:val="32"/>
      <w:szCs w:val="32"/>
    </w:rPr>
  </w:style>
  <w:style w:type="paragraph" w:customStyle="1" w:styleId="33">
    <w:name w:val="TOC 标题2"/>
    <w:basedOn w:val="5"/>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chart" Target="charts/chart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6.emf"/><Relationship Id="rId17" Type="http://schemas.openxmlformats.org/officeDocument/2006/relationships/oleObject" Target="embeddings/oleObject6.bin"/><Relationship Id="rId16" Type="http://schemas.openxmlformats.org/officeDocument/2006/relationships/image" Target="media/image5.emf"/><Relationship Id="rId15" Type="http://schemas.openxmlformats.org/officeDocument/2006/relationships/oleObject" Target="embeddings/oleObject5.bin"/><Relationship Id="rId14" Type="http://schemas.openxmlformats.org/officeDocument/2006/relationships/image" Target="media/image4.emf"/><Relationship Id="rId13" Type="http://schemas.openxmlformats.org/officeDocument/2006/relationships/oleObject" Target="embeddings/oleObject4.bin"/><Relationship Id="rId12" Type="http://schemas.openxmlformats.org/officeDocument/2006/relationships/image" Target="media/image3.emf"/><Relationship Id="rId11" Type="http://schemas.openxmlformats.org/officeDocument/2006/relationships/oleObject" Target="embeddings/oleObject3.bin"/><Relationship Id="rId10" Type="http://schemas.openxmlformats.org/officeDocument/2006/relationships/image" Target="media/image2.emf"/><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oleObject" Target="&#22270;&#34920;%20&#22312;%202022&#24180;&#37096;&#38376;&#20915;&#31639;&#32534;&#21046;&#35828;&#26126;&#33539;&#26412;(&#32426;&#22996;&#26412;&#32423;).doc"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tx>
            <c:strRef>
              <c:f>'[图表 在 2022年部门决算编制说明范本(纪委本级).doc]Sheet1'!$B$3</c:f>
              <c:strCache>
                <c:ptCount val="1"/>
                <c:pt idx="0">
                  <c:v/>
                </c:pt>
              </c:strCache>
            </c:strRef>
          </c:tx>
          <c:spPr>
            <a:solidFill>
              <a:srgbClr val="5B9BD5">
                <a:lumMod val="60000"/>
                <a:lumOff val="40000"/>
              </a:srgbClr>
            </a:solidFill>
            <a:ln w="25400">
              <a:solidFill>
                <a:srgbClr val="000000"/>
              </a:solidFill>
            </a:ln>
            <a:sp3d contourW="25400"/>
          </c:spPr>
          <c:explosion val="0"/>
          <c:dPt>
            <c:idx val="0"/>
            <c:bubble3D val="0"/>
            <c:spPr>
              <a:solidFill>
                <a:srgbClr val="5B9BD5">
                  <a:lumMod val="60000"/>
                  <a:lumOff val="40000"/>
                </a:srgbClr>
              </a:solidFill>
              <a:ln w="25400">
                <a:solidFill>
                  <a:srgbClr val="4F81BD"/>
                </a:solidFill>
              </a:ln>
              <a:effectLst>
                <a:outerShdw blurRad="254000" dist="38100" dir="2700000" algn="tl" rotWithShape="0">
                  <a:srgbClr val="376092">
                    <a:lumMod val="75000"/>
                    <a:alpha val="40000"/>
                  </a:srgbClr>
                </a:outerShdw>
              </a:effectLst>
              <a:sp3d contourW="25400"/>
            </c:spPr>
          </c:dPt>
          <c:dPt>
            <c:idx val="1"/>
            <c:bubble3D val="0"/>
            <c:spPr>
              <a:solidFill>
                <a:srgbClr val="5B9BD5">
                  <a:lumMod val="60000"/>
                  <a:lumOff val="40000"/>
                </a:srgbClr>
              </a:solidFill>
              <a:ln w="25400">
                <a:solidFill>
                  <a:srgbClr val="C0504D"/>
                </a:solidFill>
              </a:ln>
              <a:effectLst>
                <a:outerShdw blurRad="254000" dist="38100" dir="2700000" algn="tl" rotWithShape="0">
                  <a:srgbClr val="953735">
                    <a:lumMod val="75000"/>
                    <a:alpha val="40000"/>
                  </a:srgbClr>
                </a:outerShdw>
              </a:effectLst>
              <a:sp3d contourW="25400"/>
            </c:spPr>
          </c:dPt>
          <c:dPt>
            <c:idx val="2"/>
            <c:bubble3D val="0"/>
            <c:spPr>
              <a:solidFill>
                <a:srgbClr val="5B9BD5">
                  <a:lumMod val="60000"/>
                  <a:lumOff val="40000"/>
                </a:srgbClr>
              </a:solidFill>
              <a:ln w="25400">
                <a:solidFill>
                  <a:srgbClr val="9BBB59"/>
                </a:solidFill>
              </a:ln>
              <a:effectLst>
                <a:outerShdw blurRad="254000" dist="38100" dir="2700000" algn="tl" rotWithShape="0">
                  <a:srgbClr val="77933C">
                    <a:lumMod val="75000"/>
                    <a:alpha val="40000"/>
                  </a:srgbClr>
                </a:outerShdw>
              </a:effectLst>
              <a:sp3d contourW="25400"/>
            </c:spPr>
          </c:dPt>
          <c:dPt>
            <c:idx val="3"/>
            <c:bubble3D val="0"/>
            <c:spPr>
              <a:solidFill>
                <a:srgbClr val="5B9BD5">
                  <a:lumMod val="60000"/>
                  <a:lumOff val="40000"/>
                </a:srgbClr>
              </a:solidFill>
              <a:ln w="25400">
                <a:solidFill>
                  <a:srgbClr val="8064A2"/>
                </a:solidFill>
              </a:ln>
              <a:effectLst/>
              <a:sp3d contourW="25400"/>
            </c:spPr>
          </c:dPt>
          <c:dLbls>
            <c:dLbl>
              <c:idx val="0"/>
              <c:layout/>
              <c:tx>
                <c:rich>
                  <a:bodyPr rot="0" spcFirstLastPara="0" vertOverflow="clip" horzOverflow="clip" vert="horz" wrap="square" lIns="36576" tIns="18288" rIns="36576" bIns="18288" anchor="ctr" anchorCtr="1" forceAA="0">
                    <a:spAutoFit/>
                  </a:bodyPr>
                  <a:lstStyle/>
                  <a:p>
                    <a:pPr defTabSz="914400">
                      <a:defRPr lang="zh-CN" sz="1000" b="1" i="0" u="none" strike="noStrike" kern="1200" baseline="0">
                        <a:solidFill>
                          <a:srgbClr val="4F81BD"/>
                        </a:solidFill>
                        <a:latin typeface="+mn-lt"/>
                        <a:ea typeface="+mn-ea"/>
                        <a:cs typeface="+mn-cs"/>
                      </a:defRPr>
                    </a:pPr>
                    <a:r>
                      <a:t>100%</a:t>
                    </a:r>
                  </a:p>
                </c:rich>
              </c:tx>
              <c:numFmt formatCode="General" sourceLinked="1"/>
              <c:spPr>
                <a:solidFill>
                  <a:srgbClr val="FFFFFF"/>
                </a:solidFill>
                <a:ln>
                  <a:noFill/>
                </a:ln>
                <a:effectLst/>
              </c:spPr>
              <c:txPr>
                <a:bodyPr rot="0" spcFirstLastPara="0" vertOverflow="clip" horzOverflow="clip" vert="horz" wrap="square" lIns="36576" tIns="18288" rIns="36576" bIns="18288" anchor="ctr" anchorCtr="1" forceAA="0">
                  <a:spAutoFit/>
                </a:bodyPr>
                <a:lstStyle/>
                <a:p>
                  <a:pPr>
                    <a:defRPr lang="zh-CN" sz="1000" b="1" i="0" u="none" strike="noStrike" kern="1200" baseline="0">
                      <a:solidFill>
                        <a:srgbClr val="4F81BD"/>
                      </a:solidFill>
                      <a:latin typeface="+mn-lt"/>
                      <a:ea typeface="+mn-ea"/>
                      <a:cs typeface="+mn-cs"/>
                    </a:defRPr>
                  </a:pPr>
                </a:p>
              </c:txPr>
              <c:dLblPos val="bestFit"/>
              <c:showLegendKey val="0"/>
              <c:showVal val="0"/>
              <c:showCatName val="0"/>
              <c:showSerName val="1"/>
              <c:showPercent val="1"/>
              <c:showBubbleSize val="0"/>
              <c:extLst>
                <c:ext xmlns:c15="http://schemas.microsoft.com/office/drawing/2012/chart" uri="{CE6537A1-D6FC-4f65-9D91-7224C49458BB}"/>
              </c:extLst>
            </c:dLbl>
            <c:dLbl>
              <c:idx val="1"/>
              <c:layout/>
              <c:numFmt formatCode="General" sourceLinked="1"/>
              <c:spPr>
                <a:solidFill>
                  <a:srgbClr val="FFFFFF"/>
                </a:solidFill>
                <a:ln>
                  <a:noFill/>
                </a:ln>
                <a:effectLst/>
              </c:spPr>
              <c:txPr>
                <a:bodyPr rot="0" spcFirstLastPara="0" vertOverflow="clip" horzOverflow="clip" vert="horz" wrap="square" lIns="36576" tIns="18288" rIns="36576" bIns="18288" anchor="ctr" anchorCtr="1" forceAA="0">
                  <a:spAutoFit/>
                </a:bodyPr>
                <a:lstStyle/>
                <a:p>
                  <a:pPr>
                    <a:defRPr lang="zh-CN" sz="1000" b="1" i="0" u="none" strike="noStrike" kern="1200" baseline="0">
                      <a:solidFill>
                        <a:srgbClr val="C0504D"/>
                      </a:solidFill>
                      <a:latin typeface="+mn-lt"/>
                      <a:ea typeface="+mn-ea"/>
                      <a:cs typeface="+mn-cs"/>
                    </a:defRPr>
                  </a:pPr>
                </a:p>
              </c:txPr>
              <c:dLblPos val="bestFit"/>
              <c:showLegendKey val="0"/>
              <c:showVal val="0"/>
              <c:showCatName val="0"/>
              <c:showSerName val="1"/>
              <c:showPercent val="1"/>
              <c:showBubbleSize val="0"/>
              <c:extLst>
                <c:ext xmlns:c15="http://schemas.microsoft.com/office/drawing/2012/chart" uri="{CE6537A1-D6FC-4f65-9D91-7224C49458BB}"/>
              </c:extLst>
            </c:dLbl>
            <c:dLbl>
              <c:idx val="2"/>
              <c:layout/>
              <c:numFmt formatCode="General" sourceLinked="1"/>
              <c:spPr>
                <a:solidFill>
                  <a:srgbClr val="FFFFFF"/>
                </a:solidFill>
                <a:ln>
                  <a:noFill/>
                </a:ln>
                <a:effectLst/>
              </c:spPr>
              <c:txPr>
                <a:bodyPr rot="0" spcFirstLastPara="0" vertOverflow="clip" horzOverflow="clip" vert="horz" wrap="square" lIns="36576" tIns="18288" rIns="36576" bIns="18288" anchor="ctr" anchorCtr="1" forceAA="0">
                  <a:spAutoFit/>
                </a:bodyPr>
                <a:lstStyle/>
                <a:p>
                  <a:pPr>
                    <a:defRPr lang="zh-CN" sz="1000" b="1" i="0" u="none" strike="noStrike" kern="1200" baseline="0">
                      <a:solidFill>
                        <a:srgbClr val="9BBB59"/>
                      </a:solidFill>
                      <a:latin typeface="+mn-lt"/>
                      <a:ea typeface="+mn-ea"/>
                      <a:cs typeface="+mn-cs"/>
                    </a:defRPr>
                  </a:pPr>
                </a:p>
              </c:txPr>
              <c:dLblPos val="bestFit"/>
              <c:showLegendKey val="0"/>
              <c:showVal val="0"/>
              <c:showCatName val="0"/>
              <c:showSerName val="1"/>
              <c:showPercent val="1"/>
              <c:showBubbleSize val="0"/>
              <c:extLst>
                <c:ext xmlns:c15="http://schemas.microsoft.com/office/drawing/2012/chart" uri="{CE6537A1-D6FC-4f65-9D91-7224C49458BB}"/>
              </c:extLst>
            </c:dLbl>
            <c:dLbl>
              <c:idx val="3"/>
              <c:layout/>
              <c:tx>
                <c:rich>
                  <a:bodyPr rot="0" spcFirstLastPara="0" vertOverflow="clip" vert="horz" wrap="square" lIns="36576" tIns="18288" rIns="36576" bIns="18288" anchor="ctr" anchorCtr="1" forceAA="0"/>
                  <a:lstStyle/>
                  <a:p>
                    <a:pPr defTabSz="914400">
                      <a:defRPr lang="zh-CN" sz="1000" b="0" i="0" u="none" strike="noStrike" kern="1200" baseline="0">
                        <a:solidFill>
                          <a:srgbClr val="8064A2"/>
                        </a:solidFill>
                        <a:latin typeface="+mn-lt"/>
                        <a:ea typeface="+mn-ea"/>
                        <a:cs typeface="+mn-cs"/>
                      </a:defRPr>
                    </a:pPr>
                    <a:r>
                      <a:t> 0%</a:t>
                    </a:r>
                  </a:p>
                </c:rich>
              </c:tx>
              <c:numFmt formatCode="General" sourceLinked="1"/>
              <c:spPr>
                <a:solidFill>
                  <a:srgbClr val="FFFFFF"/>
                </a:solidFill>
                <a:ln>
                  <a:noFill/>
                </a:ln>
                <a:effectLst/>
              </c:spPr>
              <c:txPr>
                <a:bodyPr rot="0" spcFirstLastPara="0" vertOverflow="clip" vert="horz" wrap="square" lIns="36576" tIns="18288" rIns="36576" bIns="18288" anchor="ctr" anchorCtr="1" forceAA="0"/>
                <a:lstStyle/>
                <a:p>
                  <a:pPr>
                    <a:defRPr lang="zh-CN" sz="1000" b="0" i="0" u="none" strike="noStrike" kern="1200" baseline="0">
                      <a:solidFill>
                        <a:srgbClr val="8064A2"/>
                      </a:solidFill>
                      <a:latin typeface="+mn-lt"/>
                      <a:ea typeface="+mn-ea"/>
                      <a:cs typeface="+mn-cs"/>
                    </a:defRPr>
                  </a:pPr>
                </a:p>
              </c:txPr>
              <c:dLblPos val="bestFit"/>
              <c:showLegendKey val="0"/>
              <c:showVal val="0"/>
              <c:showCatName val="0"/>
              <c:showSerName val="1"/>
              <c:showPercent val="1"/>
              <c:showBubbleSize val="0"/>
              <c:extLst>
                <c:ext xmlns:c15="http://schemas.microsoft.com/office/drawing/2012/chart" uri="{CE6537A1-D6FC-4f65-9D91-7224C49458BB}"/>
              </c:extLst>
            </c:dLbl>
            <c:spPr>
              <a:solidFill>
                <a:srgbClr val="FFFFFF"/>
              </a:solidFill>
              <a:ln>
                <a:noFill/>
              </a:ln>
              <a:effectLst/>
            </c:spPr>
            <c:txPr>
              <a:bodyPr rot="0" spcFirstLastPara="0" vertOverflow="clip" horzOverflow="clip" vert="horz" wrap="square" lIns="36576" tIns="18288" rIns="36576" bIns="18288" anchor="ctr" anchorCtr="1" forceAA="0">
                <a:spAutoFit/>
              </a:bodyPr>
              <a:lstStyle/>
              <a:p>
                <a:pPr>
                  <a:defRPr lang="zh-CN" sz="1000" b="1" i="0" u="none" strike="noStrike" kern="1200" baseline="0">
                    <a:solidFill>
                      <a:srgbClr val="595959">
                        <a:lumMod val="65000"/>
                        <a:lumOff val="35000"/>
                      </a:srgb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spPr xmlns:c15="http://schemas.microsoft.com/office/drawing/2012/chart">
                  <a:prstGeom prst="roundRect">
                    <a:avLst/>
                  </a:prstGeom>
                  <a:noFill/>
                  <a:ln>
                    <a:noFill/>
                  </a:ln>
                </c15:spPr>
                <c15:layout/>
                <c15:showLeaderLines val="1"/>
                <c15:leaderLines>
                  <c:spPr>
                    <a:ln w="9525" cap="flat" cmpd="sng" algn="ctr">
                      <a:solidFill>
                        <a:srgbClr val="A6A6A6">
                          <a:lumMod val="35000"/>
                          <a:lumOff val="65000"/>
                        </a:srgbClr>
                      </a:solidFill>
                      <a:prstDash val="solid"/>
                      <a:round/>
                    </a:ln>
                    <a:effectLst/>
                  </c:spPr>
                </c15:leaderLines>
              </c:ext>
            </c:extLst>
          </c:dLbls>
          <c:cat>
            <c:strRef>
              <c:f>'[图表 在 2022年部门决算编制说明范本(纪委本级).doc]Sheet1'!$C$2:$F$2</c:f>
              <c:strCache>
                <c:ptCount val="4"/>
                <c:pt idx="0">
                  <c:v>一般公共预算财政拨款收入</c:v>
                </c:pt>
              </c:strCache>
            </c:strRef>
          </c:cat>
          <c:val>
            <c:numRef>
              <c:f>'[图表 在 2022年部门决算编制说明范本(纪委本级).doc]Sheet1'!$C$3:$F$3</c:f>
              <c:numCache>
                <c:formatCode>General</c:formatCode>
                <c:ptCount val="4"/>
                <c:pt idx="0">
                  <c:v>3090.99</c:v>
                </c:pt>
              </c:numCache>
            </c:numRef>
          </c:val>
        </c:ser>
        <c:ser>
          <c:idx val="1"/>
          <c:order val="1"/>
          <c:tx>
            <c:strRef>
              <c:f>'[图表 在 2022年部门决算编制说明范本(纪委本级).doc]Sheet1'!$B$4</c:f>
              <c:strCache>
                <c:ptCount val="1"/>
                <c:pt idx="0">
                  <c:v/>
                </c:pt>
              </c:strCache>
            </c:strRef>
          </c:tx>
          <c:spPr>
            <a:ln w="25400">
              <a:solidFill>
                <a:srgbClr val="000000"/>
              </a:solidFill>
            </a:ln>
            <a:sp3d contourW="25400"/>
          </c:spPr>
          <c:explosion val="0"/>
          <c:dPt>
            <c:idx val="0"/>
            <c:bubble3D val="0"/>
            <c:spPr>
              <a:pattFill prst="narVert">
                <a:fgClr>
                  <a:srgbClr val="4F81BD"/>
                </a:fgClr>
                <a:bgClr>
                  <a:srgbClr val="DCE6F2">
                    <a:lumMod val="20000"/>
                    <a:lumOff val="80000"/>
                  </a:srgbClr>
                </a:bgClr>
              </a:pattFill>
              <a:ln w="25400">
                <a:solidFill>
                  <a:srgbClr val="4F81BD"/>
                </a:solidFill>
              </a:ln>
              <a:effectLst>
                <a:outerShdw blurRad="254000" dist="38100" dir="2700000" algn="tl" rotWithShape="0">
                  <a:srgbClr val="376092">
                    <a:lumMod val="75000"/>
                    <a:alpha val="40000"/>
                  </a:srgbClr>
                </a:outerShdw>
              </a:effectLst>
              <a:sp3d contourW="25400"/>
            </c:spPr>
          </c:dPt>
          <c:dPt>
            <c:idx val="1"/>
            <c:bubble3D val="0"/>
            <c:spPr>
              <a:gradFill>
                <a:gsLst>
                  <a:gs pos="70000">
                    <a:srgbClr val="C0504D"/>
                  </a:gs>
                  <a:gs pos="0">
                    <a:srgbClr val="D99694">
                      <a:lumMod val="60000"/>
                      <a:lumOff val="40000"/>
                    </a:srgbClr>
                  </a:gs>
                </a:gsLst>
                <a:lin ang="5400000" scaled="0"/>
              </a:gradFill>
              <a:ln w="25400">
                <a:solidFill>
                  <a:srgbClr val="C0504D"/>
                </a:solidFill>
              </a:ln>
              <a:effectLst>
                <a:outerShdw blurRad="254000" dist="38100" dir="2700000" algn="tl" rotWithShape="0">
                  <a:srgbClr val="953735">
                    <a:lumMod val="75000"/>
                    <a:alpha val="40000"/>
                  </a:srgbClr>
                </a:outerShdw>
              </a:effectLst>
              <a:sp3d contourW="25400"/>
            </c:spPr>
          </c:dPt>
          <c:dPt>
            <c:idx val="2"/>
            <c:bubble3D val="0"/>
            <c:spPr>
              <a:pattFill prst="narVert">
                <a:fgClr>
                  <a:srgbClr val="9BBB59"/>
                </a:fgClr>
                <a:bgClr>
                  <a:srgbClr val="EBF1DE">
                    <a:lumMod val="20000"/>
                    <a:lumOff val="80000"/>
                  </a:srgbClr>
                </a:bgClr>
              </a:pattFill>
              <a:ln w="25400">
                <a:solidFill>
                  <a:srgbClr val="9BBB59"/>
                </a:solidFill>
              </a:ln>
              <a:effectLst>
                <a:outerShdw blurRad="254000" dist="38100" dir="2700000" algn="tl" rotWithShape="0">
                  <a:srgbClr val="77933C">
                    <a:lumMod val="75000"/>
                    <a:alpha val="40000"/>
                  </a:srgbClr>
                </a:outerShdw>
              </a:effectLst>
              <a:sp3d contourW="25400"/>
            </c:spPr>
          </c:dPt>
          <c:dPt>
            <c:idx val="3"/>
            <c:bubble3D val="0"/>
            <c:spPr>
              <a:pattFill prst="narVert">
                <a:fgClr>
                  <a:srgbClr val="8064A2"/>
                </a:fgClr>
                <a:bgClr>
                  <a:srgbClr val="FFFFFF"/>
                </a:bgClr>
              </a:pattFill>
              <a:ln w="25400">
                <a:solidFill>
                  <a:srgbClr val="8064A2"/>
                </a:solidFill>
              </a:ln>
              <a:effectLst/>
              <a:sp3d contourW="25400"/>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404040">
                        <a:lumMod val="75000"/>
                        <a:lumOff val="25000"/>
                      </a:srgb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prstDash val="solid"/>
                      <a:round/>
                    </a:ln>
                    <a:effectLst/>
                  </c:spPr>
                </c15:leaderLines>
              </c:ext>
            </c:extLst>
          </c:dLbls>
          <c:cat>
            <c:strRef>
              <c:f>'[图表 在 2022年部门决算编制说明范本(纪委本级).doc]Sheet1'!$C$2:$F$2</c:f>
              <c:strCache>
                <c:ptCount val="4"/>
                <c:pt idx="0">
                  <c:v>一般公共预算财政拨款收入</c:v>
                </c:pt>
              </c:strCache>
            </c:strRef>
          </c:cat>
          <c:val>
            <c:numRef>
              <c:f>'[图表 在 2022年部门决算编制说明范本(纪委本级).doc]Sheet1'!$C$4:$F$4</c:f>
              <c:numCache>
                <c:formatCode>General</c:formatCode>
                <c:ptCount val="4"/>
              </c:numCache>
            </c:numRef>
          </c:val>
        </c:ser>
        <c:ser>
          <c:idx val="2"/>
          <c:order val="2"/>
          <c:tx>
            <c:strRef>
              <c:f>'[图表 在 2022年部门决算编制说明范本(纪委本级).doc]Sheet1'!$B$5</c:f>
              <c:strCache>
                <c:ptCount val="1"/>
                <c:pt idx="0">
                  <c:v/>
                </c:pt>
              </c:strCache>
            </c:strRef>
          </c:tx>
          <c:spPr>
            <a:ln w="25400">
              <a:solidFill>
                <a:srgbClr val="000000"/>
              </a:solidFill>
            </a:ln>
            <a:sp3d contourW="25400"/>
          </c:spPr>
          <c:explosion val="0"/>
          <c:dPt>
            <c:idx val="0"/>
            <c:bubble3D val="0"/>
            <c:spPr>
              <a:pattFill prst="narVert">
                <a:fgClr>
                  <a:srgbClr val="4F81BD"/>
                </a:fgClr>
                <a:bgClr>
                  <a:srgbClr val="DCE6F2">
                    <a:lumMod val="20000"/>
                    <a:lumOff val="80000"/>
                  </a:srgbClr>
                </a:bgClr>
              </a:pattFill>
              <a:ln w="25400">
                <a:solidFill>
                  <a:srgbClr val="4F81BD"/>
                </a:solidFill>
              </a:ln>
              <a:effectLst>
                <a:outerShdw blurRad="254000" dist="38100" dir="2700000" algn="tl" rotWithShape="0">
                  <a:srgbClr val="376092">
                    <a:lumMod val="75000"/>
                    <a:alpha val="40000"/>
                  </a:srgbClr>
                </a:outerShdw>
              </a:effectLst>
              <a:sp3d contourW="25400"/>
            </c:spPr>
          </c:dPt>
          <c:dPt>
            <c:idx val="1"/>
            <c:bubble3D val="0"/>
            <c:spPr>
              <a:gradFill>
                <a:gsLst>
                  <a:gs pos="70000">
                    <a:srgbClr val="C0504D"/>
                  </a:gs>
                  <a:gs pos="0">
                    <a:srgbClr val="D99694">
                      <a:lumMod val="60000"/>
                      <a:lumOff val="40000"/>
                    </a:srgbClr>
                  </a:gs>
                </a:gsLst>
                <a:lin ang="5400000" scaled="0"/>
              </a:gradFill>
              <a:ln w="25400">
                <a:solidFill>
                  <a:srgbClr val="C0504D"/>
                </a:solidFill>
              </a:ln>
              <a:effectLst>
                <a:outerShdw blurRad="254000" dist="38100" dir="2700000" algn="tl" rotWithShape="0">
                  <a:srgbClr val="953735">
                    <a:lumMod val="75000"/>
                    <a:alpha val="40000"/>
                  </a:srgbClr>
                </a:outerShdw>
              </a:effectLst>
              <a:sp3d contourW="25400"/>
            </c:spPr>
          </c:dPt>
          <c:dPt>
            <c:idx val="2"/>
            <c:bubble3D val="0"/>
            <c:spPr>
              <a:pattFill prst="narVert">
                <a:fgClr>
                  <a:srgbClr val="9BBB59"/>
                </a:fgClr>
                <a:bgClr>
                  <a:srgbClr val="EBF1DE">
                    <a:lumMod val="20000"/>
                    <a:lumOff val="80000"/>
                  </a:srgbClr>
                </a:bgClr>
              </a:pattFill>
              <a:ln w="25400">
                <a:solidFill>
                  <a:srgbClr val="9BBB59"/>
                </a:solidFill>
              </a:ln>
              <a:effectLst>
                <a:outerShdw blurRad="254000" dist="38100" dir="2700000" algn="tl" rotWithShape="0">
                  <a:srgbClr val="77933C">
                    <a:lumMod val="75000"/>
                    <a:alpha val="40000"/>
                  </a:srgbClr>
                </a:outerShdw>
              </a:effectLst>
              <a:sp3d contourW="25400"/>
            </c:spPr>
          </c:dPt>
          <c:dPt>
            <c:idx val="3"/>
            <c:bubble3D val="0"/>
            <c:spPr>
              <a:pattFill prst="narVert">
                <a:fgClr>
                  <a:srgbClr val="8064A2"/>
                </a:fgClr>
                <a:bgClr>
                  <a:srgbClr val="FFFFFF"/>
                </a:bgClr>
              </a:pattFill>
              <a:ln w="25400">
                <a:solidFill>
                  <a:srgbClr val="8064A2"/>
                </a:solidFill>
              </a:ln>
              <a:effectLst/>
              <a:sp3d contourW="25400"/>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rgbClr val="404040">
                        <a:lumMod val="75000"/>
                        <a:lumOff val="25000"/>
                      </a:srgb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rgbClr val="A6A6A6">
                          <a:lumMod val="35000"/>
                          <a:lumOff val="65000"/>
                        </a:srgbClr>
                      </a:solidFill>
                      <a:prstDash val="solid"/>
                      <a:round/>
                    </a:ln>
                    <a:effectLst/>
                  </c:spPr>
                </c15:leaderLines>
              </c:ext>
            </c:extLst>
          </c:dLbls>
          <c:cat>
            <c:strRef>
              <c:f>'[图表 在 2022年部门决算编制说明范本(纪委本级).doc]Sheet1'!$C$2:$F$2</c:f>
              <c:strCache>
                <c:ptCount val="4"/>
                <c:pt idx="0">
                  <c:v>一般公共预算财政拨款收入</c:v>
                </c:pt>
              </c:strCache>
            </c:strRef>
          </c:cat>
          <c:val>
            <c:numRef>
              <c:f>'[图表 在 2022年部门决算编制说明范本(纪委本级).doc]Sheet1'!$C$5:$F$5</c:f>
              <c:numCache>
                <c:formatCode>General</c:formatCode>
                <c:ptCount val="4"/>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1"/>
        <c:delete val="1"/>
      </c:legendEntry>
      <c:legendEntry>
        <c:idx val="2"/>
        <c:delete val="1"/>
      </c:legendEntry>
      <c:legendEntry>
        <c:idx val="3"/>
        <c:delete val="1"/>
      </c:legendEntry>
      <c:layout/>
      <c:overlay val="0"/>
      <c:spPr>
        <a:noFill/>
        <a:ln>
          <a:noFill/>
        </a:ln>
        <a:effectLst/>
      </c:spPr>
      <c:txPr>
        <a:bodyPr rot="0" spcFirstLastPara="0" vertOverflow="ellipsis" vert="horz" wrap="square" anchor="ctr" anchorCtr="1" forceAA="0"/>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zero"/>
    <c:showDLblsOverMax val="0"/>
  </c:chart>
  <c:spPr>
    <a:solidFill>
      <a:sysClr val="window" lastClr="FFFFFF">
        <a:lumMod val="85000"/>
      </a:sysClr>
    </a:solidFill>
    <a:ln w="9525" cap="flat" cmpd="sng" algn="ctr">
      <a:solidFill>
        <a:srgbClr val="D9D9D9">
          <a:lumMod val="15000"/>
          <a:lumOff val="85000"/>
        </a:srgbClr>
      </a:solidFill>
      <a:prstDash val="solid"/>
      <a:round/>
    </a:ln>
    <a:effectLst>
      <a:outerShdw blurRad="63500" dist="37357" dir="2700000" sx="0" sy="0" rotWithShape="0">
        <a:scrgbClr r="0" g="0" b="0"/>
      </a:outerShdw>
    </a:effectLst>
  </c:spPr>
  <c:txPr>
    <a:bodyPr/>
    <a:lstStyle/>
    <a:p>
      <a:pPr>
        <a:defRPr lang="zh-CN" sz="1000" b="0"/>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自定义 1">
    <a:dk1>
      <a:srgbClr val="000000"/>
    </a:dk1>
    <a:lt1>
      <a:srgbClr val="FFFFFF"/>
    </a:lt1>
    <a:dk2>
      <a:srgbClr val="0C0E1F"/>
    </a:dk2>
    <a:lt2>
      <a:srgbClr val="FEFFFF"/>
    </a:lt2>
    <a:accent1>
      <a:srgbClr val="54C9FA"/>
    </a:accent1>
    <a:accent2>
      <a:srgbClr val="6C92FD"/>
    </a:accent2>
    <a:accent3>
      <a:srgbClr val="FF731F"/>
    </a:accent3>
    <a:accent4>
      <a:srgbClr val="16CC8A"/>
    </a:accent4>
    <a:accent5>
      <a:srgbClr val="FFC619"/>
    </a:accent5>
    <a:accent6>
      <a:srgbClr val="2F6AFF"/>
    </a:accent6>
    <a:hlink>
      <a:srgbClr val="304FFE"/>
    </a:hlink>
    <a:folHlink>
      <a:srgbClr val="492067"/>
    </a:folHlink>
  </a:clrScheme>
  <a:fontScheme name="自定义 2">
    <a:majorFont>
      <a:latin typeface="微软雅黑"/>
      <a:ea typeface="微软雅黑"/>
      <a:cs typeface=""/>
    </a:majorFont>
    <a:minorFont>
      <a:latin typeface="微软雅黑"/>
      <a:ea typeface="微软雅黑"/>
      <a:cs typeface=""/>
    </a:minorFont>
  </a:fontScheme>
  <a:fmtScheme name="Office">
    <a:fillStyleLst>
      <a:solidFill>
        <a:srgbClr val="FFFFFF"/>
      </a:solidFill>
      <a:gradFill rotWithShape="1">
        <a:gsLst>
          <a:gs pos="0">
            <a:srgbClr val="FFFFFF">
              <a:lumMod val="110000"/>
              <a:satMod val="105000"/>
              <a:tint val="67000"/>
            </a:srgbClr>
          </a:gs>
          <a:gs pos="50000">
            <a:srgbClr val="FFFFFF">
              <a:lumMod val="105000"/>
              <a:satMod val="103000"/>
              <a:tint val="73000"/>
            </a:srgbClr>
          </a:gs>
          <a:gs pos="100000">
            <a:srgbClr val="FFFFFF">
              <a:lumMod val="105000"/>
              <a:satMod val="109000"/>
              <a:tint val="81000"/>
            </a:srgbClr>
          </a:gs>
        </a:gsLst>
        <a:lin ang="5400000" scaled="0"/>
      </a:gradFill>
      <a:gradFill rotWithShape="1">
        <a:gsLst>
          <a:gs pos="0">
            <a:srgbClr val="FFFFFF">
              <a:satMod val="103000"/>
              <a:lumMod val="102000"/>
              <a:tint val="94000"/>
            </a:srgbClr>
          </a:gs>
          <a:gs pos="50000">
            <a:srgbClr val="FFFFFF">
              <a:satMod val="110000"/>
              <a:lumMod val="100000"/>
              <a:shade val="100000"/>
            </a:srgbClr>
          </a:gs>
          <a:gs pos="100000">
            <a:srgbClr val="E2E2E2">
              <a:lumMod val="99000"/>
              <a:satMod val="120000"/>
              <a:shade val="78000"/>
            </a:srgbClr>
          </a:gs>
        </a:gsLst>
        <a:lin ang="5400000" scaled="0"/>
      </a:gradFill>
    </a:fillStyleLst>
    <a:lnStyleLst>
      <a:ln w="6350" cap="flat" cmpd="sng" algn="ctr">
        <a:solidFill>
          <a:srgbClr val="FFFFFF"/>
        </a:solidFill>
        <a:prstDash val="solid"/>
        <a:miter lim="800000"/>
      </a:ln>
      <a:ln w="12700" cap="flat" cmpd="sng" algn="ctr">
        <a:solidFill>
          <a:srgbClr val="FFFFFF"/>
        </a:solidFill>
        <a:prstDash val="solid"/>
        <a:miter lim="800000"/>
      </a:ln>
      <a:ln w="19050" cap="flat" cmpd="sng" algn="ctr">
        <a:solidFill>
          <a:srgbClr val="FFFFFF"/>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rgbClr val="FFFFFF"/>
      </a:solidFill>
      <a:solidFill>
        <a:srgbClr val="FFFFFF">
          <a:tint val="95000"/>
          <a:satMod val="170000"/>
        </a:srgbClr>
      </a:solidFill>
      <a:gradFill rotWithShape="1">
        <a:gsLst>
          <a:gs pos="0">
            <a:srgbClr val="FFFFFF">
              <a:tint val="93000"/>
              <a:satMod val="150000"/>
              <a:shade val="98000"/>
              <a:lumMod val="102000"/>
            </a:srgbClr>
          </a:gs>
          <a:gs pos="50000">
            <a:srgbClr val="FBFBFB">
              <a:tint val="98000"/>
              <a:satMod val="130000"/>
              <a:shade val="90000"/>
              <a:lumMod val="103000"/>
            </a:srgbClr>
          </a:gs>
          <a:gs pos="100000">
            <a:srgbClr val="D0D0D0">
              <a:shade val="63000"/>
              <a:satMod val="120000"/>
            </a:srgb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Company>四川省财政厅</Company>
  <Pages>21</Pages>
  <Words>7430</Words>
  <Characters>8042</Characters>
  <Lines>73</Lines>
  <Paragraphs>20</Paragraphs>
  <TotalTime>1</TotalTime>
  <ScaleCrop>false</ScaleCrop>
  <LinksUpToDate>false</LinksUpToDate>
  <CharactersWithSpaces>8208</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栈言</cp:lastModifiedBy>
  <cp:lastPrinted>2023-07-31T02:35:00Z</cp:lastPrinted>
  <dcterms:modified xsi:type="dcterms:W3CDTF">2023-09-14T02:41:40Z</dcterms:modified>
  <dc:title>四川省***</dc:title>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8DB71EF56C06469B8AEC098562B4C8CD_13</vt:lpwstr>
  </property>
</Properties>
</file>